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ind w:firstLine="300"/>
        <w:spacing w:line="360" w:lineRule="auto"/>
        <w:rPr>
          <w:sz w:val="60"/>
          <w:szCs w:val="60"/>
        </w:rPr>
      </w:pPr>
      <w:r>
        <w:rPr>
          <w:sz w:val="60"/>
          <w:szCs w:val="60"/>
        </w:rPr>
      </w:r>
      <w:r/>
    </w:p>
    <w:p>
      <w:pPr>
        <w:pStyle w:val="651"/>
        <w:jc w:val="center"/>
        <w:rPr>
          <w:b/>
          <w:bCs/>
          <w:sz w:val="60"/>
          <w:szCs w:val="60"/>
        </w:rPr>
      </w:pPr>
      <w:r>
        <w:rPr>
          <w:b/>
          <w:bCs/>
          <w:sz w:val="60"/>
          <w:szCs w:val="60"/>
        </w:rPr>
        <w:t xml:space="preserve">常州市政府采购项目</w:t>
      </w:r>
      <w:r>
        <w:rPr>
          <w:b/>
          <w:bCs/>
          <w:sz w:val="60"/>
          <w:szCs w:val="60"/>
        </w:rPr>
      </w:r>
      <w:r/>
    </w:p>
    <w:p>
      <w:pPr>
        <w:pStyle w:val="651"/>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651"/>
        <w:jc w:val="center"/>
        <w:rPr>
          <w:b/>
          <w:bCs/>
          <w:sz w:val="60"/>
          <w:szCs w:val="60"/>
        </w:rPr>
      </w:pPr>
      <w:r>
        <w:rPr>
          <w:b/>
          <w:bCs/>
          <w:sz w:val="60"/>
          <w:szCs w:val="60"/>
        </w:rPr>
      </w:r>
      <w:r/>
    </w:p>
    <w:p>
      <w:pPr>
        <w:pStyle w:val="651"/>
        <w:jc w:val="center"/>
        <w:spacing w:line="360" w:lineRule="auto"/>
        <w:rPr>
          <w:rFonts w:hint="eastAsia" w:eastAsia="宋体"/>
          <w:sz w:val="60"/>
          <w:szCs w:val="60"/>
          <w:lang w:eastAsia="zh-CN"/>
        </w:rPr>
      </w:pPr>
      <w:r>
        <w:rPr>
          <w:rFonts w:hint="eastAsia" w:eastAsia="宋体"/>
          <w:sz w:val="60"/>
          <w:szCs w:val="60"/>
          <w:lang w:eastAsia="zh-CN"/>
        </w:rPr>
      </w:r>
      <w:r/>
    </w:p>
    <w:p>
      <w:pPr>
        <w:pStyle w:val="651"/>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等级医院评审指标和重点专科指标管理服务项目</w:t>
      </w:r>
      <w:r>
        <w:rPr>
          <w:rFonts w:hint="eastAsia" w:eastAsia="宋体"/>
          <w:bCs/>
          <w:sz w:val="36"/>
          <w:szCs w:val="36"/>
          <w:lang w:eastAsia="zh-CN"/>
        </w:rPr>
      </w:r>
      <w:r/>
    </w:p>
    <w:p>
      <w:pPr>
        <w:pStyle w:val="651"/>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w:t>
      </w:r>
      <w:r>
        <w:rPr>
          <w:rFonts w:hint="eastAsia"/>
          <w:bCs/>
          <w:sz w:val="36"/>
          <w:szCs w:val="36"/>
          <w:lang w:eastAsia="zh-CN"/>
        </w:rPr>
        <w:t xml:space="preserve">JSZC-320413-JTMS-G2026-0017</w:t>
      </w:r>
      <w:r>
        <w:rPr>
          <w:rFonts w:hint="eastAsia" w:eastAsia="宋体"/>
          <w:bCs/>
          <w:sz w:val="36"/>
          <w:szCs w:val="36"/>
          <w:lang w:eastAsia="zh-CN"/>
        </w:rPr>
      </w:r>
      <w:r/>
    </w:p>
    <w:p>
      <w:pPr>
        <w:pStyle w:val="651"/>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常州市金坛第一人民医院</w:t>
      </w:r>
      <w:r>
        <w:rPr>
          <w:bCs/>
          <w:sz w:val="36"/>
          <w:szCs w:val="36"/>
        </w:rPr>
      </w:r>
      <w:r/>
    </w:p>
    <w:p>
      <w:pPr>
        <w:pStyle w:val="651"/>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651"/>
        <w:jc w:val="left"/>
        <w:widowControl/>
        <w:rPr>
          <w:b/>
          <w:bCs/>
          <w:sz w:val="44"/>
        </w:rPr>
      </w:pPr>
      <w:r>
        <w:rPr>
          <w:b/>
          <w:bCs/>
          <w:sz w:val="44"/>
        </w:rPr>
        <w:br w:type="page" w:clear="all"/>
      </w:r>
      <w:r>
        <w:rPr>
          <w:b/>
          <w:bCs/>
          <w:sz w:val="44"/>
        </w:rPr>
      </w:r>
      <w:r/>
    </w:p>
    <w:p>
      <w:pPr>
        <w:pStyle w:val="651"/>
        <w:jc w:val="center"/>
        <w:spacing w:line="360" w:lineRule="auto"/>
        <w:outlineLvl w:val="0"/>
      </w:pPr>
      <w:r/>
      <w:bookmarkStart w:id="0" w:name="_Toc99301418"/>
      <w:r>
        <w:rPr>
          <w:b/>
          <w:sz w:val="36"/>
          <w:szCs w:val="36"/>
        </w:rPr>
        <w:t xml:space="preserve">目      录</w:t>
      </w:r>
      <w:bookmarkEnd w:id="0"/>
      <w:r/>
      <w:r/>
    </w:p>
    <w:p>
      <w:pPr>
        <w:pStyle w:val="651"/>
      </w:pPr>
      <w:r/>
      <w:r/>
    </w:p>
    <w:p>
      <w:pPr>
        <w:pStyle w:val="704"/>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04"/>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"_Toc99301419"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_Toc99301419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4"/>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"_Toc99301420"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4"/>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"_Toc99301421"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第三章   资</w:t>
      </w:r>
      <w:bookmarkStart w:id="1" w:name="_Hlt100754117"/>
      <w:r>
        <w:rPr>
          <w:rStyle w:val="728"/>
          <w:rFonts w:hint="eastAsia" w:ascii="宋体" w:hAnsi="宋体" w:eastAsia="宋体" w:cs="宋体"/>
          <w:b w:val="0"/>
          <w:bCs/>
          <w:sz w:val="28"/>
          <w:szCs w:val="28"/>
        </w:rPr>
        <w:t xml:space="preserve">格</w:t>
      </w:r>
      <w:bookmarkEnd w:id="1"/>
      <w:r>
        <w:rPr>
          <w:rStyle w:val="728"/>
          <w:rFonts w:hint="eastAsia" w:ascii="宋体" w:hAnsi="宋体" w:eastAsia="宋体" w:cs="宋体"/>
          <w:b w:val="0"/>
          <w:bCs/>
          <w:sz w:val="28"/>
          <w:szCs w:val="28"/>
        </w:rPr>
        <w:t xml:space="preserve">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18</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4"/>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"_Toc99301423"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第四章   评标程序、评标方法和评标标准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4"/>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"_Toc99301424"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第五章   采购</w:t>
      </w:r>
      <w:bookmarkStart w:id="2" w:name="_Hlt100754103"/>
      <w:r/>
      <w:bookmarkStart w:id="3" w:name="_Hlt100754102"/>
      <w:r>
        <w:rPr>
          <w:rStyle w:val="728"/>
          <w:rFonts w:hint="eastAsia" w:ascii="宋体" w:hAnsi="宋体" w:eastAsia="宋体" w:cs="宋体"/>
          <w:b w:val="0"/>
          <w:bCs/>
          <w:sz w:val="28"/>
          <w:szCs w:val="28"/>
        </w:rPr>
        <w:t xml:space="preserve">需</w:t>
      </w:r>
      <w:bookmarkEnd w:id="2"/>
      <w:r/>
      <w:bookmarkEnd w:id="3"/>
      <w:r>
        <w:rPr>
          <w:rStyle w:val="728"/>
          <w:rFonts w:hint="eastAsia" w:ascii="宋体" w:hAnsi="宋体" w:eastAsia="宋体" w:cs="宋体"/>
          <w:b w:val="0"/>
          <w:bCs/>
          <w:sz w:val="28"/>
          <w:szCs w:val="28"/>
        </w:rPr>
        <w:t xml:space="preserve">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24</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4"/>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"_Toc99301425"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第六章   拟签订的合同文本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4"/>
        <w:spacing w:line="360" w:lineRule="auto"/>
        <w:tabs>
          <w:tab w:val="left" w:pos="1050" w:leader="none"/>
          <w:tab w:val="right" w:pos="8937" w:leader="dot"/>
        </w:tabs>
        <w:rPr>
          <w:rFonts w:ascii="Times New Roman" w:hAnsi="Times New Roman"/>
          <w:b w:val="0"/>
          <w:sz w:val="21"/>
          <w:szCs w:val="22"/>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"_Toc99301426" </w:instrText>
      </w:r>
      <w:r>
        <w:rPr>
          <w:rFonts w:hint="eastAsia" w:ascii="宋体" w:hAnsi="宋体" w:eastAsia="宋体" w:cs="宋体"/>
          <w:b w:val="0"/>
          <w:bCs/>
          <w:sz w:val="28"/>
          <w:szCs w:val="28"/>
        </w:rPr>
        <w:fldChar w:fldCharType="separate"/>
      </w:r>
      <w:r>
        <w:rPr>
          <w:rStyle w:val="728"/>
          <w:rFonts w:hint="eastAsia" w:ascii="宋体" w:hAnsi="宋体" w:eastAsia="宋体" w:cs="宋体"/>
          <w:b w:val="0"/>
          <w:bCs/>
          <w:sz w:val="28"/>
          <w:szCs w:val="28"/>
        </w:rPr>
        <w:t xml:space="preserve">第七章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32</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ascii="Times New Roman" w:hAnsi="Times New Roman"/>
          <w:b w:val="0"/>
          <w:sz w:val="21"/>
          <w:szCs w:val="22"/>
        </w:rPr>
      </w:r>
      <w:r/>
    </w:p>
    <w:p>
      <w:pPr>
        <w:pStyle w:val="704"/>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651"/>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651"/>
        <w:ind w:left="0"/>
        <w:jc w:val="left"/>
        <w:pageBreakBefore w:val="0"/>
        <w:spacing w:before="0" w:line="400" w:lineRule="exact"/>
        <w:rPr>
          <w:rFonts w:hint="eastAsia" w:ascii="宋体" w:hAnsi="宋体" w:eastAsia="宋体" w:cs="宋体"/>
          <w:b/>
          <w:bCs/>
          <w:sz w:val="24"/>
          <w:szCs w:val="24"/>
          <w:lang w:val="en-US" w:eastAsia="zh-CN"/>
        </w:rPr>
        <w:outlineLvl w:val="9"/>
      </w:pPr>
      <w:r/>
      <w:bookmarkStart w:id="5" w:name="_Toc28359002"/>
      <w:r/>
      <w:bookmarkStart w:id="6" w:name="_Toc28359079"/>
      <w:r/>
      <w:bookmarkStart w:id="7" w:name="_Toc35393790"/>
      <w:r/>
      <w:bookmarkStart w:id="8" w:name="_Toc35393621"/>
      <w:r/>
      <w:bookmarkStart w:id="9" w:name="_Hlk24379207"/>
      <w:r>
        <w:rPr>
          <w:rFonts w:hint="eastAsia" w:ascii="宋体" w:hAnsi="宋体" w:eastAsia="宋体" w:cs="宋体"/>
          <w:b/>
          <w:bCs/>
          <w:sz w:val="24"/>
          <w:szCs w:val="24"/>
        </w:rPr>
        <w:t xml:space="preserve">一、项目基本情况</w:t>
      </w:r>
      <w:bookmarkEnd w:id="5"/>
      <w:r/>
      <w:bookmarkEnd w:id="6"/>
      <w:r/>
      <w:bookmarkEnd w:id="7"/>
      <w:r/>
      <w:bookmarkEnd w:id="8"/>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en-US" w:eastAsia="zh-CN"/>
        </w:rPr>
      </w:r>
      <w:r/>
    </w:p>
    <w:p>
      <w:pPr>
        <w:pStyle w:val="651"/>
        <w:ind w:left="0" w:firstLine="240"/>
        <w:jc w:val="both"/>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lang w:eastAsia="zh-CN"/>
        </w:rPr>
        <w:t xml:space="preserve">JSZC-320413-JTMS-G2026-0017</w:t>
      </w:r>
      <w:r>
        <w:rPr>
          <w:rFonts w:hint="eastAsia" w:ascii="宋体" w:hAnsi="宋体" w:eastAsia="宋体" w:cs="宋体"/>
          <w:sz w:val="24"/>
          <w:szCs w:val="24"/>
          <w:u w:val="single"/>
          <w:lang w:val="en-US" w:eastAsia="zh-CN"/>
        </w:rPr>
      </w:r>
      <w:r/>
    </w:p>
    <w:p>
      <w:pPr>
        <w:pStyle w:val="651"/>
        <w:ind w:left="0" w:firstLine="240"/>
        <w:pageBreakBefore w:val="0"/>
        <w:spacing w:line="400" w:lineRule="exact"/>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等级医院评审指标和重点专科指标管理服务项目</w:t>
      </w:r>
      <w:r>
        <w:rPr>
          <w:rFonts w:hint="eastAsia" w:ascii="宋体" w:hAnsi="宋体" w:eastAsia="宋体" w:cs="宋体"/>
          <w:sz w:val="24"/>
          <w:szCs w:val="24"/>
          <w:lang w:eastAsia="zh-CN"/>
        </w:rPr>
      </w:r>
      <w:r/>
    </w:p>
    <w:p>
      <w:pPr>
        <w:pStyle w:val="651"/>
        <w:ind w:left="0" w:firstLine="240"/>
        <w:pageBreakBefore w:val="0"/>
        <w:spacing w:line="400" w:lineRule="exact"/>
        <w:rPr>
          <w:rFonts w:hint="eastAsia" w:ascii="宋体" w:hAnsi="宋体" w:eastAsia="宋体" w:cs="宋体"/>
          <w:color w:val="000000"/>
          <w:sz w:val="24"/>
          <w:szCs w:val="24"/>
          <w:lang w:eastAsia="zh-CN"/>
        </w:rPr>
        <w:outlineLvl w:val="9"/>
      </w:pPr>
      <w:r/>
      <w:bookmarkEnd w:id="9"/>
      <w:r>
        <w:rPr>
          <w:rFonts w:hint="eastAsia" w:ascii="宋体" w:hAnsi="宋体" w:eastAsia="宋体" w:cs="宋体"/>
          <w:sz w:val="24"/>
          <w:szCs w:val="24"/>
        </w:rPr>
        <w:t xml:space="preserve">3.项目预算金额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180万元</w:t>
      </w:r>
      <w:r>
        <w:rPr>
          <w:rFonts w:hint="eastAsia" w:ascii="宋体" w:hAnsi="宋体" w:eastAsia="宋体" w:cs="宋体"/>
          <w:color w:val="000000"/>
          <w:sz w:val="24"/>
          <w:szCs w:val="24"/>
        </w:rPr>
        <w:t xml:space="preserve">、项目最高限价：</w:t>
      </w:r>
      <w:r>
        <w:rPr>
          <w:rFonts w:hint="eastAsia" w:ascii="宋体" w:hAnsi="宋体" w:eastAsia="宋体" w:cs="宋体"/>
          <w:bCs/>
          <w:color w:val="0000ff"/>
          <w:sz w:val="24"/>
          <w:szCs w:val="24"/>
          <w:highlight w:val="none"/>
          <w:u w:val="single"/>
          <w:lang w:val="en-US" w:eastAsia="zh-CN"/>
        </w:rPr>
        <w:t xml:space="preserve">1800000</w:t>
      </w:r>
      <w:r>
        <w:rPr>
          <w:rFonts w:hint="eastAsia" w:ascii="宋体" w:hAnsi="宋体" w:eastAsia="宋体" w:cs="宋体"/>
          <w:color w:val="0000ff"/>
          <w:sz w:val="24"/>
          <w:szCs w:val="24"/>
          <w:highlight w:val="none"/>
          <w:u w:val="single"/>
          <w:lang w:val="en-US" w:eastAsia="zh-CN"/>
        </w:rPr>
        <w:t xml:space="preserve">元</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lang w:val="en-US" w:eastAsia="zh-CN"/>
        </w:rPr>
        <w:t xml:space="preserve">投标报价超过最高限价</w:t>
      </w:r>
      <w:r>
        <w:rPr>
          <w:rFonts w:hint="eastAsia" w:ascii="宋体" w:hAnsi="宋体" w:eastAsia="宋体" w:cs="宋体"/>
          <w:color w:val="000000"/>
          <w:sz w:val="24"/>
          <w:szCs w:val="24"/>
        </w:rPr>
        <w:t xml:space="preserve">作无效</w:t>
      </w:r>
      <w:r>
        <w:rPr>
          <w:rFonts w:hint="eastAsia" w:ascii="宋体" w:hAnsi="宋体" w:eastAsia="宋体" w:cs="宋体"/>
          <w:color w:val="000000"/>
          <w:sz w:val="24"/>
          <w:szCs w:val="24"/>
          <w:lang w:val="en-US" w:eastAsia="zh-CN"/>
        </w:rPr>
        <w:t xml:space="preserve">标</w:t>
      </w:r>
      <w:r>
        <w:rPr>
          <w:rFonts w:hint="eastAsia" w:ascii="宋体" w:hAnsi="宋体" w:eastAsia="宋体" w:cs="宋体"/>
          <w:color w:val="000000"/>
          <w:sz w:val="24"/>
          <w:szCs w:val="24"/>
        </w:rPr>
        <w:t xml:space="preserve">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1"/>
        <w:ind w:left="0" w:firstLine="24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921"/>
        <w:gridCol w:w="2163"/>
        <w:gridCol w:w="911"/>
        <w:gridCol w:w="3080"/>
      </w:tblGrid>
      <w:tr>
        <w:trPr>
          <w:trHeight w:val="590"/>
        </w:trPr>
        <w:tc>
          <w:tcPr>
            <w:tcW w:w="378" w:type="dxa"/>
            <w:vAlign w:val="center"/>
            <w:textDirection w:val="lrTb"/>
            <w:noWrap w:val="false"/>
          </w:tcPr>
          <w:p>
            <w:pPr>
              <w:pStyle w:val="651"/>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包号</w:t>
            </w:r>
            <w:r>
              <w:rPr>
                <w:rFonts w:hint="eastAsia" w:ascii="宋体" w:hAnsi="宋体" w:eastAsia="宋体" w:cs="宋体"/>
                <w:b/>
                <w:bCs w:val="0"/>
                <w:color w:val="000000"/>
                <w:sz w:val="24"/>
                <w:szCs w:val="24"/>
              </w:rPr>
            </w:r>
            <w:r/>
          </w:p>
        </w:tc>
        <w:tc>
          <w:tcPr>
            <w:tcW w:w="1487" w:type="dxa"/>
            <w:vAlign w:val="center"/>
            <w:textDirection w:val="lrTb"/>
            <w:noWrap w:val="false"/>
          </w:tcPr>
          <w:p>
            <w:pPr>
              <w:pStyle w:val="651"/>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标的名称</w:t>
            </w:r>
            <w:r>
              <w:rPr>
                <w:rFonts w:hint="eastAsia" w:ascii="宋体" w:hAnsi="宋体" w:eastAsia="宋体" w:cs="宋体"/>
                <w:b/>
                <w:bCs w:val="0"/>
                <w:color w:val="000000"/>
                <w:sz w:val="24"/>
                <w:szCs w:val="24"/>
              </w:rPr>
            </w:r>
            <w:r/>
          </w:p>
        </w:tc>
        <w:tc>
          <w:tcPr>
            <w:tcW w:w="1101" w:type="dxa"/>
            <w:vAlign w:val="center"/>
            <w:textDirection w:val="lrTb"/>
            <w:noWrap w:val="false"/>
          </w:tcPr>
          <w:p>
            <w:pPr>
              <w:pStyle w:val="651"/>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采购包预算金额</w:t>
            </w:r>
            <w:r>
              <w:rPr>
                <w:rFonts w:hint="eastAsia" w:ascii="宋体" w:hAnsi="宋体" w:eastAsia="宋体" w:cs="宋体"/>
                <w:b/>
                <w:bCs w:val="0"/>
                <w:color w:val="000000"/>
                <w:sz w:val="24"/>
                <w:szCs w:val="24"/>
              </w:rPr>
            </w:r>
            <w:r/>
          </w:p>
        </w:tc>
        <w:tc>
          <w:tcPr>
            <w:tcW w:w="464" w:type="dxa"/>
            <w:vAlign w:val="center"/>
            <w:textDirection w:val="lrTb"/>
            <w:noWrap w:val="false"/>
          </w:tcPr>
          <w:p>
            <w:pPr>
              <w:pStyle w:val="651"/>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数量</w:t>
            </w:r>
            <w:r>
              <w:rPr>
                <w:rFonts w:hint="eastAsia" w:ascii="宋体" w:hAnsi="宋体" w:eastAsia="宋体" w:cs="宋体"/>
                <w:b/>
                <w:bCs w:val="0"/>
                <w:color w:val="000000"/>
                <w:sz w:val="24"/>
                <w:szCs w:val="24"/>
              </w:rPr>
            </w:r>
            <w:r/>
          </w:p>
        </w:tc>
        <w:tc>
          <w:tcPr>
            <w:tcW w:w="1568" w:type="dxa"/>
            <w:vAlign w:val="center"/>
            <w:textDirection w:val="lrTb"/>
            <w:noWrap w:val="false"/>
          </w:tcPr>
          <w:p>
            <w:pPr>
              <w:pStyle w:val="651"/>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简要技术需求或服务要求</w:t>
            </w:r>
            <w:r>
              <w:rPr>
                <w:rFonts w:hint="eastAsia" w:ascii="宋体" w:hAnsi="宋体" w:eastAsia="宋体" w:cs="宋体"/>
                <w:b/>
                <w:bCs w:val="0"/>
                <w:color w:val="000000"/>
                <w:sz w:val="24"/>
                <w:szCs w:val="24"/>
              </w:rPr>
            </w:r>
            <w:r/>
          </w:p>
        </w:tc>
      </w:tr>
      <w:tr>
        <w:trPr>
          <w:trHeight w:val="810"/>
        </w:trPr>
        <w:tc>
          <w:tcPr>
            <w:tcW w:w="378" w:type="dxa"/>
            <w:vAlign w:val="center"/>
            <w:textDirection w:val="lrTb"/>
            <w:noWrap w:val="false"/>
          </w:tcPr>
          <w:p>
            <w:pPr>
              <w:pStyle w:val="651"/>
              <w:ind w:left="0"/>
              <w:jc w:val="center"/>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01</w:t>
            </w:r>
            <w:r>
              <w:rPr>
                <w:rFonts w:hint="eastAsia" w:ascii="宋体" w:hAnsi="宋体" w:eastAsia="宋体" w:cs="宋体"/>
                <w:bCs/>
                <w:color w:val="000000"/>
                <w:sz w:val="24"/>
                <w:szCs w:val="24"/>
              </w:rPr>
            </w:r>
            <w:r/>
          </w:p>
        </w:tc>
        <w:tc>
          <w:tcPr>
            <w:tcW w:w="1487" w:type="dxa"/>
            <w:vAlign w:val="center"/>
            <w:textDirection w:val="lrTb"/>
            <w:noWrap w:val="false"/>
          </w:tcPr>
          <w:p>
            <w:pPr>
              <w:pStyle w:val="651"/>
              <w:ind w:left="0"/>
              <w:jc w:val="center"/>
              <w:pageBreakBefore w:val="0"/>
              <w:spacing w:line="4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lang w:eastAsia="zh-CN"/>
              </w:rPr>
              <w:t xml:space="preserve">等级医院评审指标和重点专科指标管理服务项目</w:t>
            </w:r>
            <w:r>
              <w:rPr>
                <w:rFonts w:hint="eastAsia" w:ascii="宋体" w:hAnsi="宋体" w:eastAsia="宋体" w:cs="宋体"/>
                <w:bCs/>
                <w:color w:val="000000"/>
                <w:sz w:val="24"/>
                <w:szCs w:val="24"/>
                <w:lang w:eastAsia="zh-CN"/>
              </w:rPr>
            </w:r>
            <w:r/>
          </w:p>
        </w:tc>
        <w:tc>
          <w:tcPr>
            <w:tcW w:w="1101" w:type="dxa"/>
            <w:vAlign w:val="center"/>
            <w:textDirection w:val="lrTb"/>
            <w:noWrap w:val="false"/>
          </w:tcPr>
          <w:p>
            <w:pPr>
              <w:pStyle w:val="651"/>
              <w:ind w:left="0"/>
              <w:jc w:val="center"/>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180万元</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651"/>
              <w:ind w:left="0"/>
              <w:jc w:val="center"/>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1项</w:t>
            </w:r>
            <w:r>
              <w:rPr>
                <w:rFonts w:hint="eastAsia" w:ascii="宋体" w:hAnsi="宋体" w:eastAsia="宋体" w:cs="宋体"/>
                <w:bCs/>
                <w:color w:val="000000"/>
                <w:sz w:val="24"/>
                <w:szCs w:val="24"/>
                <w:lang w:val="en-US" w:eastAsia="zh-CN"/>
              </w:rPr>
            </w:r>
            <w:r/>
          </w:p>
        </w:tc>
        <w:tc>
          <w:tcPr>
            <w:tcW w:w="1568" w:type="dxa"/>
            <w:vAlign w:val="center"/>
            <w:textDirection w:val="lrTb"/>
            <w:noWrap w:val="false"/>
          </w:tcPr>
          <w:p>
            <w:pPr>
              <w:pStyle w:val="651"/>
              <w:ind w:left="0"/>
              <w:jc w:val="center"/>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color w:val="000000"/>
                <w:sz w:val="24"/>
                <w:szCs w:val="24"/>
              </w:rPr>
            </w:r>
            <w:r/>
          </w:p>
        </w:tc>
      </w:tr>
    </w:tbl>
    <w:p>
      <w:pPr>
        <w:pStyle w:val="651"/>
        <w:ind w:left="0" w:firstLine="480"/>
        <w:pageBreakBefore w:val="0"/>
        <w:spacing w:line="400" w:lineRule="exact"/>
        <w:rPr>
          <w:rFonts w:hint="eastAsia" w:ascii="宋体" w:hAnsi="宋体" w:eastAsia="宋体" w:cs="宋体"/>
          <w:color w:val="000000"/>
          <w:sz w:val="24"/>
          <w:szCs w:val="24"/>
          <w:u w:val="single"/>
          <w:lang w:eastAsia="zh-CN"/>
        </w:rPr>
        <w:outlineLvl w:val="9"/>
      </w:pPr>
      <w:r>
        <w:rPr>
          <w:rFonts w:hint="eastAsia" w:ascii="宋体" w:hAnsi="宋体" w:eastAsia="宋体" w:cs="宋体"/>
          <w:color w:val="000000"/>
          <w:sz w:val="24"/>
          <w:szCs w:val="24"/>
        </w:rPr>
        <w:t xml:space="preserve">5.合同履行期限：</w:t>
      </w:r>
      <w:r>
        <w:rPr>
          <w:rFonts w:hint="eastAsia" w:ascii="宋体" w:hAnsi="宋体" w:eastAsia="宋体" w:cs="宋体"/>
          <w:bCs/>
          <w:color w:val="0000ff"/>
          <w:sz w:val="24"/>
          <w:szCs w:val="24"/>
          <w:highlight w:val="none"/>
          <w:u w:val="single"/>
          <w:lang w:val="en-US" w:eastAsia="zh-CN"/>
        </w:rPr>
        <w:t xml:space="preserve">自合同签订之日起至2027年6月30日前，实现初步评审条件；整体项目需在2027年12月31日前完成交付。</w:t>
      </w:r>
      <w:r>
        <w:rPr>
          <w:rFonts w:hint="eastAsia" w:ascii="宋体" w:hAnsi="宋体" w:eastAsia="宋体" w:cs="宋体"/>
          <w:color w:val="000000"/>
          <w:sz w:val="24"/>
          <w:szCs w:val="24"/>
          <w:u w:val="single"/>
          <w:lang w:eastAsia="zh-CN"/>
        </w:rPr>
      </w:r>
      <w:r/>
    </w:p>
    <w:p>
      <w:pPr>
        <w:pStyle w:val="651"/>
        <w:ind w:left="0" w:firstLine="48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6.本项目是否接受联合体投标：□是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p>
      <w:pPr>
        <w:pStyle w:val="651"/>
        <w:ind w:left="0"/>
        <w:jc w:val="left"/>
        <w:pageBreakBefore w:val="0"/>
        <w:spacing w:before="0" w:line="400" w:lineRule="exact"/>
        <w:rPr>
          <w:rFonts w:hint="eastAsia" w:ascii="宋体" w:hAnsi="宋体" w:eastAsia="宋体" w:cs="宋体"/>
          <w:b/>
          <w:bCs/>
          <w:sz w:val="24"/>
          <w:szCs w:val="24"/>
        </w:rPr>
        <w:outlineLvl w:val="9"/>
      </w:pPr>
      <w:r/>
      <w:bookmarkStart w:id="10" w:name="_Toc35393791"/>
      <w:r/>
      <w:bookmarkStart w:id="11" w:name="_Toc28359003"/>
      <w:r/>
      <w:bookmarkStart w:id="12" w:name="_Toc35393622"/>
      <w:r/>
      <w:bookmarkStart w:id="13" w:name="_Toc28359080"/>
      <w:r>
        <w:rPr>
          <w:rFonts w:hint="eastAsia" w:ascii="宋体" w:hAnsi="宋体" w:eastAsia="宋体" w:cs="宋体"/>
          <w:b/>
          <w:bCs/>
          <w:sz w:val="24"/>
          <w:szCs w:val="24"/>
        </w:rPr>
        <w:t xml:space="preserve">二、申请人的资格要求（须同时满足）</w:t>
      </w:r>
      <w:bookmarkEnd w:id="10"/>
      <w:r/>
      <w:bookmarkEnd w:id="11"/>
      <w:r/>
      <w:bookmarkEnd w:id="12"/>
      <w:r/>
      <w:bookmarkEnd w:id="13"/>
      <w:r>
        <w:rPr>
          <w:rFonts w:hint="eastAsia" w:ascii="宋体" w:hAnsi="宋体" w:eastAsia="宋体" w:cs="宋体"/>
          <w:b/>
          <w:bCs/>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i/>
          <w:iCs/>
          <w:sz w:val="24"/>
          <w:szCs w:val="24"/>
          <w:u w:val="single"/>
        </w:rPr>
        <w:outlineLvl w:val="9"/>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651"/>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3.1本项目是否接受分支机构参与投标：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51"/>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651"/>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51"/>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651"/>
        <w:ind w:firstLine="480"/>
        <w:keepLines w:val="0"/>
        <w:keepNext w:val="0"/>
        <w:pageBreakBefore w:val="0"/>
        <w:spacing w:line="400" w:lineRule="exact"/>
        <w:shd w:val="clear" w:color="auto" w:fill="ffffff"/>
        <w:widowControl/>
        <w:rPr>
          <w:rFonts w:hint="eastAsia" w:ascii="宋体" w:hAnsi="宋体" w:eastAsia="宋体" w:cs="宋体"/>
          <w:color w:val="0000ff"/>
          <w:sz w:val="24"/>
          <w:szCs w:val="24"/>
          <w:highlight w:val="yellow"/>
          <w:u w:val="single"/>
          <w:lang w:val="en-US" w:eastAsia="zh-CN"/>
        </w:rPr>
        <w:outlineLvl w:val="9"/>
      </w:pPr>
      <w:r>
        <w:rPr>
          <w:rFonts w:hint="eastAsia" w:ascii="宋体" w:hAnsi="宋体" w:eastAsia="宋体" w:cs="宋体"/>
          <w:sz w:val="24"/>
          <w:szCs w:val="24"/>
          <w:highlight w:val="none"/>
        </w:rPr>
        <w:t xml:space="preserve">3.3其他特定资格要求：</w:t>
      </w:r>
      <w:r>
        <w:rPr>
          <w:rFonts w:hint="eastAsia" w:ascii="宋体" w:hAnsi="宋体" w:eastAsia="宋体" w:cs="宋体"/>
          <w:sz w:val="24"/>
          <w:szCs w:val="24"/>
          <w:highlight w:val="none"/>
          <w:u w:val="single"/>
          <w:lang w:eastAsia="zh-CN"/>
        </w:rPr>
        <w:t xml:space="preserve">无</w:t>
      </w:r>
      <w:r>
        <w:rPr>
          <w:rFonts w:hint="eastAsia" w:ascii="宋体" w:hAnsi="宋体" w:eastAsia="宋体" w:cs="宋体"/>
          <w:color w:val="0000ff"/>
          <w:sz w:val="24"/>
          <w:szCs w:val="24"/>
          <w:highlight w:val="yellow"/>
          <w:u w:val="single"/>
          <w:lang w:val="en-US" w:eastAsia="zh-CN"/>
        </w:rPr>
      </w:r>
      <w:r/>
    </w:p>
    <w:p>
      <w:pPr>
        <w:pStyle w:val="651"/>
        <w:ind w:left="0"/>
        <w:jc w:val="left"/>
        <w:pageBreakBefore w:val="0"/>
        <w:spacing w:before="0" w:line="400" w:lineRule="exact"/>
        <w:widowControl/>
        <w:rPr>
          <w:rFonts w:hint="eastAsia" w:ascii="宋体" w:hAnsi="宋体" w:eastAsia="宋体" w:cs="宋体"/>
          <w:sz w:val="24"/>
          <w:szCs w:val="24"/>
        </w:rPr>
        <w:outlineLvl w:val="9"/>
      </w:pPr>
      <w:r/>
      <w:bookmarkEnd w:id="14"/>
      <w:r/>
      <w:bookmarkEnd w:id="15"/>
      <w:r/>
      <w:bookmarkStart w:id="16" w:name="_Toc35393792"/>
      <w:r/>
      <w:bookmarkStart w:id="17" w:name="_Toc35393623"/>
      <w:r>
        <w:rPr>
          <w:rFonts w:hint="eastAsia" w:ascii="宋体" w:hAnsi="宋体" w:eastAsia="宋体" w:cs="宋体"/>
          <w:b/>
          <w:bCs/>
          <w:sz w:val="24"/>
          <w:szCs w:val="24"/>
        </w:rPr>
        <w:t xml:space="preserve">三、获取招标文件</w:t>
      </w:r>
      <w:bookmarkEnd w:id="16"/>
      <w:r/>
      <w:bookmarkEnd w:id="17"/>
      <w:r>
        <w:rPr>
          <w:rFonts w:hint="eastAsia" w:ascii="宋体" w:hAnsi="宋体" w:eastAsia="宋体" w:cs="宋体"/>
          <w:sz w:val="24"/>
          <w:szCs w:val="24"/>
        </w:rPr>
      </w:r>
      <w:r/>
    </w:p>
    <w:p>
      <w:pPr>
        <w:pStyle w:val="651"/>
        <w:ind w:left="0" w:firstLine="480"/>
        <w:pageBreakBefore w:val="0"/>
        <w:spacing w:line="400" w:lineRule="exact"/>
        <w:rPr>
          <w:rFonts w:hint="eastAsia" w:ascii="宋体" w:hAnsi="宋体" w:eastAsia="宋体" w:cs="宋体"/>
          <w:color w:val="0000ff"/>
          <w:sz w:val="24"/>
          <w:szCs w:val="24"/>
          <w:u w:val="single"/>
          <w:lang w:eastAsia="zh-CN" w:bidi="ar"/>
        </w:rPr>
        <w:outlineLvl w:val="9"/>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651"/>
        <w:ind w:left="0" w:firstLine="480"/>
        <w:pageBreakBefore w:val="0"/>
        <w:spacing w:line="400" w:lineRule="exact"/>
        <w:rPr>
          <w:rFonts w:hint="eastAsia" w:ascii="宋体" w:hAnsi="宋体" w:eastAsia="宋体" w:cs="宋体"/>
          <w:sz w:val="24"/>
          <w:szCs w:val="24"/>
          <w:lang w:bidi="ar"/>
        </w:rPr>
        <w:outlineLvl w:val="9"/>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651"/>
        <w:ind w:left="0" w:firstLine="480"/>
        <w:pageBreakBefore w:val="0"/>
        <w:spacing w:line="400" w:lineRule="exact"/>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651"/>
        <w:ind w:left="0" w:firstLine="480"/>
        <w:pageBreakBefore w:val="0"/>
        <w:spacing w:line="400" w:lineRule="exact"/>
        <w:rPr>
          <w:rFonts w:hint="eastAsia" w:ascii="宋体" w:hAnsi="宋体" w:eastAsia="宋体" w:cs="宋体"/>
          <w:sz w:val="24"/>
          <w:szCs w:val="24"/>
          <w:lang w:eastAsia="zh-CN" w:bidi="ar"/>
        </w:rPr>
        <w:outlineLvl w:val="9"/>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651"/>
        <w:ind w:left="0"/>
        <w:jc w:val="left"/>
        <w:pageBreakBefore w:val="0"/>
        <w:spacing w:before="0" w:line="400" w:lineRule="exact"/>
        <w:widowControl/>
        <w:rPr>
          <w:rFonts w:hint="eastAsia" w:ascii="宋体" w:hAnsi="宋体" w:eastAsia="宋体" w:cs="宋体"/>
          <w:b/>
          <w:bCs/>
          <w:sz w:val="24"/>
          <w:szCs w:val="24"/>
        </w:rPr>
        <w:outlineLvl w:val="9"/>
      </w:pPr>
      <w:r/>
      <w:bookmarkStart w:id="18" w:name="_Toc28359005"/>
      <w:r/>
      <w:bookmarkStart w:id="19" w:name="_Toc28359082"/>
      <w:r/>
      <w:bookmarkStart w:id="20" w:name="_Toc35393793"/>
      <w:r/>
      <w:bookmarkStart w:id="21" w:name="_Toc35393624"/>
      <w:r>
        <w:rPr>
          <w:rFonts w:hint="eastAsia" w:ascii="宋体" w:hAnsi="宋体" w:eastAsia="宋体" w:cs="宋体"/>
          <w:b/>
          <w:bCs/>
          <w:sz w:val="24"/>
          <w:szCs w:val="24"/>
        </w:rPr>
        <w:t xml:space="preserve">四、提交投标文件</w:t>
      </w:r>
      <w:bookmarkEnd w:id="18"/>
      <w:r/>
      <w:bookmarkEnd w:id="19"/>
      <w:r>
        <w:rPr>
          <w:rFonts w:hint="eastAsia" w:ascii="宋体" w:hAnsi="宋体" w:eastAsia="宋体" w:cs="宋体"/>
          <w:b/>
          <w:bCs/>
          <w:sz w:val="24"/>
          <w:szCs w:val="24"/>
        </w:rPr>
        <w:t xml:space="preserve">截止时间、开标时间和地点</w:t>
      </w:r>
      <w:bookmarkEnd w:id="20"/>
      <w:r/>
      <w:bookmarkEnd w:id="21"/>
      <w:r>
        <w:rPr>
          <w:rFonts w:hint="eastAsia" w:ascii="宋体" w:hAnsi="宋体" w:eastAsia="宋体" w:cs="宋体"/>
          <w:b/>
          <w:bCs/>
          <w:sz w:val="24"/>
          <w:szCs w:val="24"/>
        </w:rPr>
      </w:r>
      <w:r/>
    </w:p>
    <w:p>
      <w:pPr>
        <w:pStyle w:val="651"/>
        <w:ind w:left="0" w:firstLine="480"/>
        <w:pageBreakBefore w:val="0"/>
        <w:spacing w:line="400" w:lineRule="exact"/>
        <w:rPr>
          <w:rFonts w:hint="eastAsia" w:ascii="宋体" w:hAnsi="宋体" w:eastAsia="宋体" w:cs="宋体"/>
          <w:iCs/>
          <w:sz w:val="24"/>
          <w:szCs w:val="24"/>
          <w:lang w:bidi="ar"/>
        </w:rPr>
        <w:outlineLvl w:val="9"/>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2026年7月17</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651"/>
        <w:ind w:left="0" w:firstLine="480"/>
        <w:jc w:val="left"/>
        <w:pageBreakBefore w:val="0"/>
        <w:spacing w:before="0" w:line="400" w:lineRule="exact"/>
        <w:rPr>
          <w:rFonts w:hint="eastAsia" w:ascii="宋体" w:hAnsi="宋体" w:eastAsia="宋体" w:cs="宋体"/>
          <w:b w:val="0"/>
          <w:sz w:val="24"/>
          <w:szCs w:val="24"/>
          <w:lang w:val="en-US" w:eastAsia="zh-CN" w:bidi="ar"/>
        </w:rPr>
        <w:outlineLvl w:val="9"/>
      </w:pPr>
      <w:r>
        <w:rPr>
          <w:rFonts w:hint="eastAsia" w:ascii="宋体" w:hAnsi="宋体" w:eastAsia="宋体" w:cs="宋体"/>
          <w:b w:val="0"/>
          <w:sz w:val="24"/>
          <w:szCs w:val="24"/>
          <w:lang w:val="en-US" w:eastAsia="zh-CN" w:bidi="ar"/>
        </w:rPr>
        <w:t xml:space="preserve">2.地点：</w:t>
      </w:r>
      <w:bookmarkStart w:id="22" w:name="_Toc28359007"/>
      <w:r/>
      <w:bookmarkStart w:id="23" w:name="_Toc35393794"/>
      <w:r/>
      <w:bookmarkStart w:id="24" w:name="_Toc35393625"/>
      <w:r/>
      <w:bookmarkStart w:id="25" w:name="_Toc2835908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651"/>
        <w:ind w:left="0"/>
        <w:jc w:val="left"/>
        <w:pageBreakBefore w:val="0"/>
        <w:spacing w:before="0"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五、公告期限</w:t>
      </w:r>
      <w:bookmarkEnd w:id="22"/>
      <w:r/>
      <w:bookmarkEnd w:id="23"/>
      <w:r/>
      <w:bookmarkEnd w:id="24"/>
      <w:r/>
      <w:bookmarkEnd w:id="25"/>
      <w:r>
        <w:rPr>
          <w:rFonts w:hint="eastAsia" w:ascii="宋体" w:hAnsi="宋体" w:eastAsia="宋体" w:cs="宋体"/>
          <w:b/>
          <w:bCs/>
          <w:sz w:val="24"/>
          <w:szCs w:val="24"/>
        </w:rPr>
      </w:r>
      <w:r/>
    </w:p>
    <w:p>
      <w:pPr>
        <w:pStyle w:val="651"/>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651"/>
        <w:ind w:left="0"/>
        <w:jc w:val="left"/>
        <w:pageBreakBefore w:val="0"/>
        <w:spacing w:before="0" w:line="400" w:lineRule="exact"/>
        <w:rPr>
          <w:rFonts w:hint="eastAsia" w:ascii="宋体" w:hAnsi="宋体" w:eastAsia="宋体" w:cs="宋体"/>
          <w:b/>
          <w:bCs/>
          <w:sz w:val="24"/>
          <w:szCs w:val="24"/>
        </w:rPr>
        <w:outlineLvl w:val="9"/>
      </w:pPr>
      <w:r/>
      <w:bookmarkStart w:id="26" w:name="_Toc35393795"/>
      <w:r/>
      <w:bookmarkStart w:id="27" w:name="_Toc35393626"/>
      <w:r>
        <w:rPr>
          <w:rFonts w:hint="eastAsia" w:ascii="宋体" w:hAnsi="宋体" w:eastAsia="宋体" w:cs="宋体"/>
          <w:b/>
          <w:bCs/>
          <w:sz w:val="24"/>
          <w:szCs w:val="24"/>
        </w:rPr>
        <w:t xml:space="preserve">六、其他补充事宜</w:t>
      </w:r>
      <w:bookmarkEnd w:id="26"/>
      <w:r/>
      <w:bookmarkEnd w:id="27"/>
      <w:r>
        <w:rPr>
          <w:rFonts w:hint="eastAsia" w:ascii="宋体" w:hAnsi="宋体" w:eastAsia="宋体" w:cs="宋体"/>
          <w:b/>
          <w:bCs/>
          <w:sz w:val="24"/>
          <w:szCs w:val="24"/>
        </w:rPr>
      </w:r>
      <w:r/>
    </w:p>
    <w:p>
      <w:pPr>
        <w:pStyle w:val="651"/>
        <w:ind w:left="0" w:firstLine="480"/>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outlineLvl w:val="9"/>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651"/>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outlineLvl w:val="9"/>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651"/>
        <w:ind w:left="0"/>
        <w:jc w:val="left"/>
        <w:pageBreakBefore w:val="0"/>
        <w:spacing w:before="0"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七、对本次采购提出询问，请按以下方式联系。</w:t>
      </w:r>
      <w:r>
        <w:rPr>
          <w:rFonts w:hint="eastAsia" w:ascii="宋体" w:hAnsi="宋体" w:eastAsia="宋体" w:cs="宋体"/>
          <w:b/>
          <w:bCs/>
          <w:sz w:val="24"/>
          <w:szCs w:val="24"/>
        </w:rPr>
      </w:r>
      <w:r/>
    </w:p>
    <w:p>
      <w:pPr>
        <w:pStyle w:val="651"/>
        <w:ind w:left="0"/>
        <w:jc w:val="left"/>
        <w:pageBreakBefore w:val="0"/>
        <w:spacing w:line="400" w:lineRule="exact"/>
        <w:widowControl/>
        <w:rPr>
          <w:rFonts w:hint="eastAsia" w:ascii="宋体" w:hAnsi="宋体" w:eastAsia="宋体" w:cs="宋体"/>
          <w:b/>
          <w:sz w:val="24"/>
          <w:szCs w:val="24"/>
        </w:rPr>
        <w:outlineLvl w:val="9"/>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651"/>
        <w:ind w:left="479" w:firstLine="180"/>
        <w:jc w:val="left"/>
        <w:pageBreakBefore w:val="0"/>
        <w:spacing w:line="400" w:lineRule="exact"/>
        <w:rPr>
          <w:rFonts w:hint="eastAsia" w:ascii="宋体" w:hAnsi="宋体" w:eastAsia="宋体" w:cs="宋体"/>
          <w:sz w:val="24"/>
          <w:szCs w:val="24"/>
          <w:u w:val="single"/>
          <w:lang w:eastAsia="zh-CN"/>
        </w:rPr>
        <w:outlineLvl w:val="9"/>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rPr>
          <w:rFonts w:hint="eastAsia" w:ascii="宋体" w:hAnsi="宋体" w:eastAsia="宋体" w:cs="宋体"/>
          <w:sz w:val="24"/>
          <w:szCs w:val="24"/>
          <w:u w:val="single"/>
          <w:lang w:eastAsia="zh-CN"/>
        </w:rPr>
      </w:r>
      <w:r/>
    </w:p>
    <w:p>
      <w:pPr>
        <w:pStyle w:val="651"/>
        <w:ind w:left="479" w:firstLine="180"/>
        <w:jc w:val="left"/>
        <w:pageBreakBefore w:val="0"/>
        <w:spacing w:line="400" w:lineRule="exact"/>
        <w:rPr>
          <w:rFonts w:hint="eastAsia" w:ascii="宋体" w:hAnsi="宋体" w:eastAsia="宋体" w:cs="宋体"/>
          <w:sz w:val="24"/>
          <w:szCs w:val="24"/>
          <w:lang w:val="zh-TW" w:eastAsia="zh-CN"/>
        </w:rPr>
        <w:outlineLvl w:val="9"/>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rPr>
          <w:rFonts w:hint="eastAsia" w:ascii="宋体" w:hAnsi="宋体" w:eastAsia="宋体" w:cs="宋体"/>
          <w:sz w:val="24"/>
          <w:szCs w:val="24"/>
          <w:lang w:val="zh-TW" w:eastAsia="zh-CN"/>
        </w:rPr>
      </w:r>
      <w:r/>
    </w:p>
    <w:p>
      <w:pPr>
        <w:pStyle w:val="651"/>
        <w:ind w:left="479" w:firstLine="180"/>
        <w:jc w:val="left"/>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0519-82885505</w:t>
      </w:r>
      <w:r>
        <w:rPr>
          <w:rFonts w:hint="eastAsia" w:ascii="宋体" w:hAnsi="宋体" w:eastAsia="宋体" w:cs="宋体"/>
          <w:sz w:val="24"/>
          <w:szCs w:val="24"/>
          <w:u w:val="single"/>
          <w:lang w:val="en-US" w:eastAsia="zh-CN"/>
        </w:rPr>
      </w:r>
      <w:r/>
    </w:p>
    <w:p>
      <w:pPr>
        <w:pStyle w:val="651"/>
        <w:ind w:left="479" w:firstLine="181"/>
        <w:jc w:val="left"/>
        <w:pageBreakBefore w:val="0"/>
        <w:spacing w:line="400" w:lineRule="exact"/>
        <w:rPr>
          <w:rFonts w:hint="eastAsia" w:ascii="宋体" w:hAnsi="宋体" w:eastAsia="宋体" w:cs="宋体"/>
          <w:b/>
          <w:sz w:val="24"/>
          <w:szCs w:val="24"/>
        </w:rPr>
        <w:outlineLvl w:val="9"/>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651"/>
        <w:ind w:left="479" w:firstLine="180"/>
        <w:jc w:val="left"/>
        <w:pageBreakBefore w:val="0"/>
        <w:spacing w:line="400" w:lineRule="exact"/>
        <w:rPr>
          <w:rFonts w:hint="eastAsia" w:ascii="宋体" w:hAnsi="宋体" w:eastAsia="宋体" w:cs="宋体"/>
          <w:sz w:val="24"/>
          <w:szCs w:val="24"/>
          <w:u w:val="single"/>
          <w:lang w:eastAsia="zh-CN"/>
        </w:rPr>
        <w:outlineLvl w:val="9"/>
      </w:pPr>
      <w:r/>
      <w:bookmarkStart w:id="30" w:name="_Toc28359087"/>
      <w:r/>
      <w:bookmarkStart w:id="31"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651"/>
        <w:ind w:left="479" w:firstLine="180"/>
        <w:jc w:val="left"/>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常州市金坛区金鑫路165号中景A座8楼809室</w:t>
      </w:r>
      <w:r>
        <w:rPr>
          <w:rFonts w:hint="eastAsia" w:ascii="宋体" w:hAnsi="宋体" w:eastAsia="宋体" w:cs="宋体"/>
          <w:sz w:val="24"/>
          <w:szCs w:val="24"/>
          <w:u w:val="single"/>
          <w:lang w:val="en-US" w:eastAsia="zh-CN"/>
        </w:rPr>
      </w:r>
      <w:r/>
    </w:p>
    <w:p>
      <w:pPr>
        <w:pStyle w:val="651"/>
        <w:ind w:left="479" w:firstLine="180"/>
        <w:jc w:val="left"/>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651"/>
        <w:ind w:left="0" w:firstLine="723"/>
        <w:pageBreakBefore w:val="0"/>
        <w:spacing w:line="400" w:lineRule="exact"/>
        <w:rPr>
          <w:rFonts w:hint="eastAsia" w:ascii="宋体" w:hAnsi="宋体" w:eastAsia="宋体" w:cs="宋体"/>
          <w:b/>
          <w:sz w:val="24"/>
          <w:szCs w:val="24"/>
          <w:u w:val="single"/>
        </w:rPr>
        <w:outlineLvl w:val="9"/>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691"/>
        <w:ind w:left="0" w:firstLine="720"/>
        <w:pageBreakBefore w:val="0"/>
        <w:spacing w:line="400" w:lineRule="exact"/>
        <w:rPr>
          <w:rFonts w:hint="eastAsia" w:hAnsi="宋体" w:eastAsia="宋体" w:cs="宋体"/>
          <w:sz w:val="24"/>
          <w:szCs w:val="24"/>
          <w:u w:val="none"/>
          <w:lang w:val="en-US" w:eastAsia="zh-CN"/>
        </w:rPr>
        <w:outlineLvl w:val="9"/>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hAnsi="宋体" w:eastAsia="宋体" w:cs="宋体"/>
          <w:sz w:val="24"/>
          <w:szCs w:val="24"/>
          <w:u w:val="single"/>
          <w:lang w:val="en-US" w:eastAsia="zh-CN"/>
        </w:rPr>
        <w:t xml:space="preserve">  </w:t>
      </w:r>
      <w:r>
        <w:rPr>
          <w:rFonts w:hint="eastAsia" w:hAnsi="宋体" w:eastAsia="宋体" w:cs="宋体"/>
          <w:sz w:val="24"/>
          <w:szCs w:val="24"/>
          <w:u w:val="none"/>
          <w:lang w:val="en-US" w:eastAsia="zh-CN"/>
        </w:rPr>
        <w:t xml:space="preserve">    </w:t>
      </w:r>
      <w:r>
        <w:rPr>
          <w:rFonts w:hint="eastAsia" w:hAnsi="宋体" w:eastAsia="宋体" w:cs="宋体"/>
          <w:sz w:val="24"/>
          <w:szCs w:val="24"/>
          <w:u w:val="none"/>
          <w:lang w:val="en-US" w:eastAsia="zh-CN"/>
        </w:rPr>
      </w:r>
      <w:r/>
    </w:p>
    <w:p>
      <w:pPr>
        <w:pStyle w:val="691"/>
        <w:ind w:left="0" w:firstLine="72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w:t>
      </w:r>
      <w:r>
        <w:rPr>
          <w:rFonts w:hint="eastAsia" w:hAnsi="宋体" w:eastAsia="宋体" w:cs="宋体"/>
          <w:sz w:val="24"/>
          <w:szCs w:val="24"/>
          <w:u w:val="single"/>
          <w:lang w:val="en-US" w:eastAsia="zh-CN"/>
        </w:rPr>
        <w:t xml:space="preserve">61</w:t>
      </w:r>
      <w:r>
        <w:rPr>
          <w:rFonts w:hint="eastAsia" w:ascii="宋体" w:hAnsi="宋体" w:eastAsia="宋体" w:cs="宋体"/>
          <w:sz w:val="24"/>
          <w:szCs w:val="24"/>
          <w:u w:val="single"/>
          <w:lang w:val="en-US" w:eastAsia="zh-CN"/>
        </w:rPr>
        <w:t xml:space="preserve">8969</w:t>
      </w:r>
      <w:r>
        <w:rPr>
          <w:rFonts w:hint="eastAsia" w:ascii="宋体" w:hAnsi="宋体" w:eastAsia="宋体" w:cs="宋体"/>
          <w:sz w:val="24"/>
          <w:szCs w:val="24"/>
        </w:rPr>
      </w:r>
      <w:r/>
    </w:p>
    <w:p>
      <w:pPr>
        <w:pStyle w:val="651"/>
        <w:jc w:val="center"/>
        <w:keepLines w:val="0"/>
        <w:keepNext w:val="0"/>
        <w:pageBreakBefore w:val="0"/>
        <w:spacing w:line="400" w:lineRule="exact"/>
        <w:widowControl w:val="off"/>
        <w:rPr>
          <w:rFonts w:ascii="Times New Roman" w:hAnsi="Times New Roman" w:eastAsia="宋体" w:cs="Times New Roman"/>
          <w:b/>
          <w:sz w:val="36"/>
          <w:szCs w:val="36"/>
        </w:rPr>
        <w:outlineLvl w:val="0"/>
      </w:pPr>
      <w:r>
        <w:rPr>
          <w:rFonts w:hint="eastAsia" w:ascii="宋体" w:hAnsi="宋体" w:eastAsia="宋体" w:cs="宋体"/>
          <w:sz w:val="24"/>
          <w:szCs w:val="24"/>
        </w:rPr>
        <w:br w:type="page" w:clear="all"/>
      </w:r>
      <w:bookmarkStart w:id="32" w:name="_Toc305158928"/>
      <w:r/>
      <w:bookmarkStart w:id="33" w:name="_Toc512937850"/>
      <w:r/>
      <w:bookmarkStart w:id="34" w:name="_Toc150774783"/>
      <w:r/>
      <w:bookmarkStart w:id="35" w:name="_Toc99301420"/>
      <w:r/>
      <w:bookmarkStart w:id="36" w:name="_Toc195842950"/>
      <w:r/>
      <w:bookmarkStart w:id="37" w:name="_Toc353825548"/>
      <w:r/>
      <w:bookmarkStart w:id="38" w:name="_Toc127151777"/>
      <w:r/>
      <w:bookmarkStart w:id="39" w:name="_Toc353873938"/>
      <w:r/>
      <w:bookmarkStart w:id="40" w:name="_Toc264969275"/>
      <w:r/>
      <w:bookmarkStart w:id="41" w:name="_Toc305158854"/>
      <w:r/>
      <w:bookmarkStart w:id="42" w:name="_Toc265228423"/>
      <w:r/>
      <w:bookmarkStart w:id="43" w:name="_Toc226965856"/>
      <w:r/>
      <w:bookmarkStart w:id="44" w:name="_Toc127161488"/>
      <w:r>
        <w:rPr>
          <w:rFonts w:ascii="Times New Roman" w:hAnsi="Times New Roman" w:eastAsia="宋体" w:cs="Times New Roman"/>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Times New Roman" w:hAnsi="Times New Roman" w:eastAsia="宋体" w:cs="Times New Roman"/>
          <w:b/>
          <w:sz w:val="36"/>
          <w:szCs w:val="36"/>
        </w:rPr>
      </w:r>
      <w:r/>
    </w:p>
    <w:p>
      <w:pPr>
        <w:pStyle w:val="654"/>
        <w:jc w:val="center"/>
        <w:pageBreakBefore w:val="0"/>
        <w:spacing w:before="0" w:line="400" w:lineRule="exact"/>
        <w:widowControl w:val="off"/>
        <w:tabs>
          <w:tab w:val="center" w:pos="4592" w:leader="none"/>
          <w:tab w:val="left" w:pos="7860" w:leader="none"/>
        </w:tabs>
        <w:rPr>
          <w:b w:val="0"/>
          <w:sz w:val="24"/>
          <w:szCs w:val="24"/>
        </w:rPr>
      </w:pPr>
      <w:r/>
      <w:bookmarkStart w:id="45" w:name="_Toc151193761"/>
      <w:r/>
      <w:bookmarkStart w:id="46" w:name="_Toc226337215"/>
      <w:r/>
      <w:bookmarkStart w:id="47" w:name="_Toc164351613"/>
      <w:r/>
      <w:bookmarkStart w:id="48" w:name="_Toc164229214"/>
      <w:r/>
      <w:bookmarkStart w:id="49" w:name="_Toc150774619"/>
      <w:r/>
      <w:bookmarkStart w:id="50" w:name="_Toc127151519"/>
      <w:r/>
      <w:bookmarkStart w:id="51" w:name="_Toc226309763"/>
      <w:r/>
      <w:bookmarkStart w:id="52" w:name="_Toc150480757"/>
      <w:r/>
      <w:bookmarkStart w:id="53" w:name="_Toc520356144"/>
      <w:r/>
      <w:bookmarkStart w:id="54" w:name="_Toc195842884"/>
      <w:r/>
      <w:bookmarkStart w:id="55" w:name="_Toc151190146"/>
      <w:r/>
      <w:bookmarkStart w:id="56" w:name="_Toc151193689"/>
      <w:r/>
      <w:bookmarkStart w:id="57" w:name="_Toc226965709"/>
      <w:r/>
      <w:bookmarkStart w:id="58" w:name="_Toc127161433"/>
      <w:r/>
      <w:bookmarkStart w:id="59" w:name="_Toc164229360"/>
      <w:r/>
      <w:bookmarkStart w:id="60" w:name="_Toc151193907"/>
      <w:r/>
      <w:bookmarkStart w:id="61" w:name="_Toc151193833"/>
      <w:r/>
      <w:bookmarkStart w:id="62" w:name="_Toc150774724"/>
      <w:r/>
      <w:bookmarkStart w:id="63" w:name="_Toc149720812"/>
      <w:r/>
      <w:bookmarkStart w:id="64" w:name="_Toc151193617"/>
      <w:r/>
      <w:bookmarkStart w:id="65" w:name="_Toc127151720"/>
      <w:r/>
      <w:bookmarkStart w:id="66" w:name="_Toc164608633"/>
      <w:r/>
      <w:bookmarkStart w:id="67" w:name="_Toc150509270"/>
      <w:r/>
      <w:bookmarkStart w:id="68" w:name="_Toc164608788"/>
      <w:r/>
      <w:bookmarkStart w:id="69" w:name="_Toc142311021"/>
      <w:r/>
      <w:bookmarkStart w:id="70" w:name="_Toc226965792"/>
      <w:r>
        <w:rPr>
          <w:rFonts w:ascii="Times New Roman" w:hAnsi="Times New Roman" w:eastAsia="宋体"/>
          <w:sz w:val="24"/>
          <w:szCs w:val="24"/>
        </w:rPr>
        <w:t xml:space="preserve">投标人须知资料表</w:t>
      </w:r>
      <w:r>
        <w:rPr>
          <w:b w:val="0"/>
          <w:sz w:val="24"/>
          <w:szCs w:val="24"/>
        </w:rPr>
      </w:r>
      <w:r/>
    </w:p>
    <w:p>
      <w:pPr>
        <w:pStyle w:val="651"/>
        <w:ind w:firstLine="480"/>
        <w:pageBreakBefore w:val="0"/>
        <w:spacing w:line="400" w:lineRule="exact"/>
        <w:widowControl w:val="off"/>
        <w:rPr>
          <w:rFonts w:hint="eastAsia"/>
          <w:sz w:val="24"/>
          <w:szCs w:val="24"/>
        </w:rPr>
      </w:pPr>
      <w:r>
        <w:rPr>
          <w:sz w:val="24"/>
          <w:szCs w:val="24"/>
        </w:rPr>
        <w:t xml:space="preserve">本表是对投标人须知的具体补充和修改，如有矛盾，均以本资料表为准。</w:t>
      </w:r>
      <w:r>
        <w:rPr>
          <w:rFonts w:hint="eastAsia"/>
          <w:sz w:val="24"/>
          <w:szCs w:val="24"/>
        </w:rPr>
      </w:r>
      <w:r/>
    </w:p>
    <w:p>
      <w:pPr>
        <w:pStyle w:val="651"/>
        <w:ind w:firstLine="480"/>
        <w:pageBreakBefore w:val="0"/>
        <w:spacing w:line="400" w:lineRule="exact"/>
        <w:widowControl w:val="off"/>
        <w:rPr>
          <w:sz w:val="24"/>
          <w:szCs w:val="24"/>
        </w:rPr>
      </w:pPr>
      <w:r>
        <w:rPr>
          <w:sz w:val="24"/>
          <w:szCs w:val="24"/>
        </w:rPr>
        <w:t xml:space="preserve">标记</w:t>
      </w:r>
      <w:r>
        <w:rPr>
          <w:color w:val="000000"/>
          <w:sz w:val="24"/>
          <w:szCs w:val="24"/>
        </w:rPr>
        <w:t xml:space="preserve">“</w:t>
      </w:r>
      <w:r>
        <w:rPr>
          <w:b/>
          <w:color w:val="000000"/>
          <w:sz w:val="24"/>
          <w:szCs w:val="24"/>
        </w:rPr>
        <w:t xml:space="preserve">■</w:t>
      </w:r>
      <w:r>
        <w:rPr>
          <w:color w:val="000000"/>
          <w:sz w:val="24"/>
          <w:szCs w:val="24"/>
        </w:rPr>
        <w:t xml:space="preserve">”</w:t>
      </w:r>
      <w:r>
        <w:rPr>
          <w:sz w:val="24"/>
          <w:szCs w:val="24"/>
        </w:rPr>
        <w:t xml:space="preserve">的选项意为适用于本项目，标记“□”的选项意为不适用于本项目。</w:t>
      </w:r>
      <w:r>
        <w:rPr>
          <w:sz w:val="24"/>
          <w:szCs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651"/>
              <w:jc w:val="center"/>
              <w:pageBreakBefore w:val="0"/>
              <w:spacing w:line="400" w:lineRule="exact"/>
              <w:widowControl w:val="off"/>
              <w:rPr>
                <w:b/>
                <w:bCs/>
                <w:sz w:val="24"/>
                <w:szCs w:val="24"/>
              </w:rPr>
            </w:pPr>
            <w:r>
              <w:rPr>
                <w:b/>
                <w:sz w:val="24"/>
                <w:szCs w:val="24"/>
              </w:rPr>
              <w:t xml:space="preserve">条款号</w:t>
            </w:r>
            <w:r>
              <w:rPr>
                <w:b/>
                <w:bCs/>
                <w:sz w:val="24"/>
                <w:szCs w:val="24"/>
              </w:rPr>
            </w:r>
            <w:r/>
          </w:p>
        </w:tc>
        <w:tc>
          <w:tcPr>
            <w:tcW w:w="1680" w:type="dxa"/>
            <w:vAlign w:val="center"/>
            <w:textDirection w:val="lrTb"/>
            <w:noWrap w:val="false"/>
          </w:tcPr>
          <w:p>
            <w:pPr>
              <w:pStyle w:val="651"/>
              <w:jc w:val="center"/>
              <w:pageBreakBefore w:val="0"/>
              <w:spacing w:line="400" w:lineRule="exact"/>
              <w:widowControl w:val="off"/>
              <w:rPr>
                <w:b/>
                <w:bCs/>
                <w:sz w:val="24"/>
                <w:szCs w:val="24"/>
              </w:rPr>
            </w:pPr>
            <w:r>
              <w:rPr>
                <w:b/>
                <w:bCs/>
                <w:sz w:val="24"/>
                <w:szCs w:val="24"/>
              </w:rPr>
              <w:t xml:space="preserve">条目</w:t>
            </w:r>
            <w:r>
              <w:rPr>
                <w:b/>
                <w:bCs/>
                <w:sz w:val="24"/>
                <w:szCs w:val="24"/>
              </w:rPr>
            </w:r>
            <w:r/>
          </w:p>
        </w:tc>
        <w:tc>
          <w:tcPr>
            <w:tcW w:w="7145" w:type="dxa"/>
            <w:vAlign w:val="center"/>
            <w:textDirection w:val="lrTb"/>
            <w:noWrap w:val="false"/>
          </w:tcPr>
          <w:p>
            <w:pPr>
              <w:pStyle w:val="651"/>
              <w:jc w:val="center"/>
              <w:pageBreakBefore w:val="0"/>
              <w:spacing w:line="400" w:lineRule="exact"/>
              <w:widowControl w:val="off"/>
              <w:rPr>
                <w:b/>
                <w:bCs/>
                <w:sz w:val="24"/>
                <w:szCs w:val="24"/>
              </w:rPr>
            </w:pPr>
            <w:r>
              <w:rPr>
                <w:b/>
                <w:bCs/>
                <w:sz w:val="24"/>
                <w:szCs w:val="24"/>
              </w:rPr>
              <w:t xml:space="preserve">内容</w:t>
            </w:r>
            <w:r>
              <w:rPr>
                <w:b/>
                <w:bCs/>
                <w:sz w:val="24"/>
                <w:szCs w:val="24"/>
              </w:rPr>
            </w:r>
            <w:r/>
          </w:p>
        </w:tc>
      </w:tr>
      <w:tr>
        <w:trPr>
          <w:trHeight w:val="526"/>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项目属性</w:t>
            </w:r>
            <w:r>
              <w:rPr>
                <w:sz w:val="24"/>
                <w:szCs w:val="24"/>
              </w:rPr>
            </w:r>
            <w:r/>
          </w:p>
        </w:tc>
        <w:tc>
          <w:tcPr>
            <w:tcW w:w="7145" w:type="dxa"/>
            <w:vAlign w:val="center"/>
            <w:textDirection w:val="lrTb"/>
            <w:noWrap w:val="false"/>
          </w:tcPr>
          <w:p>
            <w:pPr>
              <w:pStyle w:val="651"/>
              <w:jc w:val="left"/>
              <w:pageBreakBefore w:val="0"/>
              <w:spacing w:line="400" w:lineRule="exact"/>
              <w:widowControl w:val="off"/>
              <w:rPr>
                <w:rFonts w:hint="eastAsia" w:eastAsia="宋体"/>
                <w:sz w:val="24"/>
                <w:szCs w:val="24"/>
                <w:u w:val="single"/>
                <w:lang w:eastAsia="zh-CN"/>
              </w:rPr>
            </w:pPr>
            <w:r>
              <w:rPr>
                <w:sz w:val="24"/>
                <w:szCs w:val="24"/>
              </w:rPr>
              <w:t xml:space="preserve">项目属性：</w:t>
            </w:r>
            <w:r>
              <w:rPr>
                <w:rFonts w:hint="eastAsia"/>
                <w:sz w:val="24"/>
                <w:szCs w:val="24"/>
                <w:lang w:eastAsia="zh-CN"/>
              </w:rPr>
              <w:t xml:space="preserve">☑</w:t>
            </w:r>
            <w:r>
              <w:rPr>
                <w:rFonts w:hint="eastAsia"/>
                <w:sz w:val="24"/>
                <w:szCs w:val="24"/>
                <w:lang w:val="en-US" w:eastAsia="zh-CN"/>
              </w:rPr>
              <w:t xml:space="preserve">服务</w:t>
            </w:r>
            <w:r>
              <w:rPr>
                <w:rFonts w:hint="eastAsia" w:eastAsia="宋体"/>
                <w:sz w:val="24"/>
                <w:szCs w:val="24"/>
                <w:u w:val="single"/>
                <w:lang w:eastAsia="zh-CN"/>
              </w:rPr>
            </w:r>
            <w:r/>
          </w:p>
        </w:tc>
      </w:tr>
      <w:tr>
        <w:trPr>
          <w:trHeight w:val="591"/>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科研仪器设备</w:t>
            </w:r>
            <w:r>
              <w:rPr>
                <w:sz w:val="24"/>
                <w:szCs w:val="24"/>
              </w:rPr>
            </w:r>
            <w:r/>
          </w:p>
        </w:tc>
        <w:tc>
          <w:tcPr>
            <w:tcW w:w="7145" w:type="dxa"/>
            <w:vAlign w:val="center"/>
            <w:textDirection w:val="lrTb"/>
            <w:noWrap w:val="false"/>
          </w:tcPr>
          <w:p>
            <w:pPr>
              <w:pStyle w:val="651"/>
              <w:jc w:val="left"/>
              <w:pageBreakBefore w:val="0"/>
              <w:spacing w:line="400" w:lineRule="exact"/>
              <w:widowControl w:val="off"/>
              <w:rPr>
                <w:sz w:val="24"/>
                <w:szCs w:val="24"/>
              </w:rPr>
            </w:pPr>
            <w:r>
              <w:rPr>
                <w:sz w:val="24"/>
                <w:szCs w:val="24"/>
              </w:rPr>
              <w:t xml:space="preserve">是否属于科研仪器设备采购项目：</w:t>
            </w:r>
            <w:r>
              <w:rPr>
                <w:rFonts w:hint="eastAsia"/>
                <w:sz w:val="24"/>
                <w:szCs w:val="24"/>
                <w:lang w:eastAsia="zh-CN"/>
              </w:rPr>
              <w:t xml:space="preserve">☑</w:t>
            </w:r>
            <w:r>
              <w:rPr>
                <w:sz w:val="24"/>
                <w:szCs w:val="24"/>
              </w:rPr>
              <w:t xml:space="preserve">否</w:t>
            </w:r>
            <w:r>
              <w:rPr>
                <w:sz w:val="24"/>
                <w:szCs w:val="24"/>
              </w:rPr>
            </w:r>
            <w:r/>
          </w:p>
        </w:tc>
      </w:tr>
      <w:tr>
        <w:trPr>
          <w:trHeight w:val="511"/>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核心产品</w:t>
            </w:r>
            <w:r>
              <w:rPr>
                <w:sz w:val="24"/>
                <w:szCs w:val="24"/>
              </w:rPr>
            </w:r>
            <w:r/>
          </w:p>
        </w:tc>
        <w:tc>
          <w:tcPr>
            <w:tcW w:w="7145" w:type="dxa"/>
            <w:vAlign w:val="center"/>
            <w:textDirection w:val="lrTb"/>
            <w:noWrap w:val="false"/>
          </w:tcPr>
          <w:p>
            <w:pPr>
              <w:pStyle w:val="651"/>
              <w:jc w:val="left"/>
              <w:pageBreakBefore w:val="0"/>
              <w:spacing w:line="400" w:lineRule="exact"/>
              <w:widowControl w:val="off"/>
              <w:rPr>
                <w:sz w:val="24"/>
                <w:szCs w:val="24"/>
              </w:rPr>
            </w:pPr>
            <w:r>
              <w:rPr>
                <w:rFonts w:hint="eastAsia" w:eastAsia="宋体"/>
                <w:sz w:val="24"/>
                <w:szCs w:val="24"/>
                <w:lang w:eastAsia="zh-CN"/>
              </w:rPr>
              <w:t xml:space="preserve">☑</w:t>
            </w:r>
            <w:r>
              <w:rPr>
                <w:sz w:val="24"/>
                <w:szCs w:val="24"/>
              </w:rPr>
              <w:t xml:space="preserve">关于核心产品本项目</w:t>
            </w:r>
            <w:r>
              <w:rPr>
                <w:rFonts w:hint="eastAsia"/>
                <w:sz w:val="24"/>
                <w:szCs w:val="24"/>
                <w:u w:val="single"/>
                <w:lang w:val="en-US" w:eastAsia="zh-CN"/>
              </w:rPr>
              <w:t xml:space="preserve"> / </w:t>
            </w:r>
            <w:r>
              <w:rPr>
                <w:sz w:val="24"/>
                <w:szCs w:val="24"/>
              </w:rPr>
              <w:t xml:space="preserve">包不适用。</w:t>
            </w:r>
            <w:r>
              <w:rPr>
                <w:sz w:val="24"/>
                <w:szCs w:val="24"/>
              </w:rPr>
            </w:r>
            <w:r/>
          </w:p>
        </w:tc>
      </w:tr>
      <w:tr>
        <w:trPr>
          <w:trHeight w:val="860"/>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4</w:t>
            </w:r>
            <w:r>
              <w:rPr>
                <w:rFonts w:ascii="Times New Roman" w:hAnsi="Times New Roman" w:eastAsia="宋体"/>
                <w:sz w:val="24"/>
                <w:szCs w:val="24"/>
                <w:lang w:val="en-US" w:eastAsia="zh-CN"/>
              </w:rPr>
            </w:r>
            <w:r/>
          </w:p>
        </w:tc>
        <w:tc>
          <w:tcPr>
            <w:tcW w:w="1680" w:type="dxa"/>
            <w:vAlign w:val="center"/>
            <w:textDirection w:val="lrTb"/>
            <w:noWrap w:val="false"/>
          </w:tcPr>
          <w:p>
            <w:pPr>
              <w:pStyle w:val="651"/>
              <w:jc w:val="center"/>
              <w:pageBreakBefore w:val="0"/>
              <w:spacing w:line="400" w:lineRule="exact"/>
              <w:widowControl w:val="off"/>
              <w:rPr>
                <w:rFonts w:ascii="宋体" w:hAnsi="宋体"/>
                <w:sz w:val="24"/>
                <w:szCs w:val="24"/>
                <w:lang w:val="en-US" w:eastAsia="zh-CN" w:bidi="ar-SA"/>
              </w:rPr>
            </w:pPr>
            <w:r>
              <w:rPr>
                <w:rFonts w:ascii="宋体" w:hAnsi="宋体"/>
                <w:sz w:val="24"/>
                <w:szCs w:val="24"/>
              </w:rPr>
              <w:t xml:space="preserve">是否专门面向中小企业</w:t>
            </w:r>
            <w:r>
              <w:rPr>
                <w:rFonts w:ascii="宋体" w:hAnsi="宋体"/>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rFonts w:hint="eastAsia" w:ascii="宋体" w:hAnsi="宋体"/>
                <w:sz w:val="24"/>
                <w:szCs w:val="24"/>
              </w:rPr>
            </w:pPr>
            <w:r>
              <w:rPr>
                <w:rFonts w:hint="eastAsia" w:eastAsia="宋体"/>
                <w:sz w:val="24"/>
                <w:szCs w:val="24"/>
                <w:lang w:eastAsia="zh-CN"/>
              </w:rPr>
              <w:t xml:space="preserve">□</w:t>
            </w:r>
            <w:r>
              <w:rPr>
                <w:rFonts w:hint="eastAsia" w:ascii="宋体" w:hAnsi="宋体"/>
                <w:sz w:val="24"/>
                <w:szCs w:val="24"/>
              </w:rPr>
              <w:t xml:space="preserve">本项目非专门面向中小企业采购，对于符合规定的小微企业报价给予</w:t>
            </w:r>
            <w:r>
              <w:rPr>
                <w:rFonts w:hint="eastAsia" w:ascii="宋体" w:hAnsi="宋体"/>
                <w:sz w:val="24"/>
                <w:szCs w:val="24"/>
                <w:highlight w:val="yellow"/>
                <w:u w:val="single"/>
                <w:lang w:val="en-US" w:eastAsia="zh-CN"/>
              </w:rPr>
              <w:t xml:space="preserve">10</w:t>
            </w:r>
            <w:r>
              <w:rPr>
                <w:rFonts w:hint="eastAsia" w:ascii="宋体" w:hAnsi="宋体"/>
                <w:sz w:val="24"/>
                <w:szCs w:val="24"/>
                <w:highlight w:val="yellow"/>
                <w:u w:val="single"/>
              </w:rPr>
              <w:t xml:space="preserve">%</w:t>
            </w:r>
            <w:r>
              <w:rPr>
                <w:rFonts w:hint="eastAsia" w:ascii="宋体" w:hAnsi="宋体"/>
                <w:sz w:val="24"/>
                <w:szCs w:val="24"/>
              </w:rPr>
              <w:t xml:space="preserve">的扣除，用扣除后的价格参与评审。</w:t>
            </w:r>
            <w:r>
              <w:rPr>
                <w:rFonts w:hint="eastAsia" w:ascii="宋体" w:hAnsi="宋体"/>
                <w:sz w:val="24"/>
                <w:szCs w:val="24"/>
              </w:rPr>
            </w:r>
            <w:r/>
          </w:p>
          <w:p>
            <w:pPr>
              <w:pStyle w:val="651"/>
              <w:jc w:val="left"/>
              <w:pageBreakBefore w:val="0"/>
              <w:spacing w:line="400" w:lineRule="exact"/>
              <w:widowControl w:val="off"/>
              <w:rPr>
                <w:rFonts w:ascii="宋体" w:hAnsi="宋体"/>
                <w:sz w:val="24"/>
                <w:szCs w:val="24"/>
                <w:lang w:val="en-US" w:eastAsia="zh-CN" w:bidi="ar-SA"/>
              </w:rPr>
            </w:pPr>
            <w:r>
              <w:rPr>
                <w:rFonts w:ascii="Wingdings 2" w:hAnsi="Wingdings 2" w:eastAsia="Wingdings 2" w:cs="Wingdings 2"/>
                <w:sz w:val="24"/>
                <w:szCs w:val="24"/>
              </w:rPr>
              <w:t xml:space="preserve">R</w:t>
            </w:r>
            <w:r>
              <w:rPr>
                <w:rFonts w:hint="eastAsia" w:ascii="宋体" w:hAnsi="宋体"/>
                <w:sz w:val="24"/>
                <w:szCs w:val="24"/>
              </w:rPr>
              <w:t xml:space="preserve">本项目专门面向小微企业采购，在评审时不再对小微企业执行价格评审优惠政策。</w:t>
            </w:r>
            <w:r>
              <w:rPr>
                <w:rFonts w:ascii="宋体" w:hAnsi="宋体"/>
                <w:sz w:val="24"/>
                <w:szCs w:val="24"/>
                <w:lang w:val="en-US" w:eastAsia="zh-CN" w:bidi="ar-SA"/>
              </w:rPr>
            </w:r>
            <w:r/>
          </w:p>
        </w:tc>
      </w:tr>
      <w:tr>
        <w:trPr>
          <w:trHeight w:val="521"/>
        </w:trPr>
        <w:tc>
          <w:tcPr>
            <w:tcW w:w="1011" w:type="dxa"/>
            <w:vAlign w:val="center"/>
            <w:vMerge w:val="restart"/>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现场考察</w:t>
            </w:r>
            <w:r>
              <w:rPr>
                <w:sz w:val="24"/>
                <w:szCs w:val="24"/>
              </w:rPr>
            </w:r>
            <w:r/>
          </w:p>
        </w:tc>
        <w:tc>
          <w:tcPr>
            <w:tcW w:w="7145" w:type="dxa"/>
            <w:vAlign w:val="center"/>
            <w:textDirection w:val="lrTb"/>
            <w:noWrap w:val="false"/>
          </w:tcPr>
          <w:p>
            <w:pPr>
              <w:pStyle w:val="651"/>
              <w:jc w:val="left"/>
              <w:pageBreakBefore w:val="0"/>
              <w:spacing w:line="400" w:lineRule="exact"/>
              <w:widowControl w:val="off"/>
              <w:rPr>
                <w:rFonts w:ascii="Times New Roman" w:hAnsi="Times New Roman"/>
                <w:sz w:val="24"/>
                <w:szCs w:val="24"/>
              </w:rPr>
            </w:pPr>
            <w:r>
              <w:rPr>
                <w:sz w:val="24"/>
                <w:szCs w:val="24"/>
              </w:rPr>
              <w:t xml:space="preserve">不组织</w:t>
            </w:r>
            <w:r>
              <w:rPr>
                <w:rFonts w:ascii="Times New Roman" w:hAnsi="Times New Roman"/>
                <w:sz w:val="24"/>
                <w:szCs w:val="24"/>
              </w:rPr>
            </w:r>
            <w:r/>
          </w:p>
        </w:tc>
      </w:tr>
      <w:tr>
        <w:trPr>
          <w:trHeight w:val="491"/>
        </w:trPr>
        <w:tc>
          <w:tcPr>
            <w:tcW w:w="1011" w:type="dxa"/>
            <w:vAlign w:val="center"/>
            <w:vMerge w:val="continue"/>
            <w:textDirection w:val="lrTb"/>
            <w:noWrap w:val="false"/>
          </w:tcPr>
          <w:p>
            <w:pPr>
              <w:pStyle w:val="691"/>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开标前答疑会</w:t>
            </w:r>
            <w:r>
              <w:rPr>
                <w:sz w:val="24"/>
                <w:szCs w:val="24"/>
              </w:rPr>
            </w:r>
            <w:r/>
          </w:p>
        </w:tc>
        <w:tc>
          <w:tcPr>
            <w:tcW w:w="7145" w:type="dxa"/>
            <w:vAlign w:val="center"/>
            <w:textDirection w:val="lrTb"/>
            <w:noWrap w:val="false"/>
          </w:tcPr>
          <w:p>
            <w:pPr>
              <w:pStyle w:val="651"/>
              <w:jc w:val="left"/>
              <w:pageBreakBefore w:val="0"/>
              <w:spacing w:line="400" w:lineRule="exact"/>
              <w:widowControl w:val="off"/>
              <w:rPr>
                <w:rFonts w:eastAsia="宋体"/>
                <w:sz w:val="24"/>
                <w:szCs w:val="24"/>
                <w:lang w:val="en-US" w:eastAsia="zh-CN"/>
              </w:rPr>
            </w:pPr>
            <w:r>
              <w:rPr>
                <w:rFonts w:hint="eastAsia"/>
                <w:sz w:val="24"/>
                <w:szCs w:val="24"/>
                <w:lang w:eastAsia="zh-CN"/>
              </w:rPr>
              <w:t xml:space="preserve">☑</w:t>
            </w:r>
            <w:r>
              <w:rPr>
                <w:sz w:val="24"/>
                <w:szCs w:val="24"/>
              </w:rPr>
              <w:t xml:space="preserve">不召开</w:t>
            </w:r>
            <w:r>
              <w:rPr>
                <w:rFonts w:eastAsia="宋体"/>
                <w:sz w:val="24"/>
                <w:szCs w:val="24"/>
                <w:lang w:val="en-US" w:eastAsia="zh-CN"/>
              </w:rPr>
            </w:r>
            <w:r/>
          </w:p>
        </w:tc>
      </w:tr>
      <w:tr>
        <w:trPr>
          <w:trHeight w:val="511"/>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样品</w:t>
            </w:r>
            <w:r>
              <w:rPr>
                <w:sz w:val="24"/>
                <w:szCs w:val="24"/>
              </w:rPr>
            </w:r>
            <w:r/>
          </w:p>
        </w:tc>
        <w:tc>
          <w:tcPr>
            <w:tcW w:w="7145" w:type="dxa"/>
            <w:vAlign w:val="center"/>
            <w:textDirection w:val="lrTb"/>
            <w:noWrap w:val="false"/>
          </w:tcPr>
          <w:p>
            <w:pPr>
              <w:pStyle w:val="651"/>
              <w:jc w:val="left"/>
              <w:pageBreakBefore w:val="0"/>
              <w:spacing w:line="400" w:lineRule="exact"/>
              <w:widowControl w:val="off"/>
              <w:rPr>
                <w:sz w:val="24"/>
                <w:szCs w:val="24"/>
              </w:rPr>
            </w:pPr>
            <w:r>
              <w:rPr>
                <w:sz w:val="24"/>
                <w:szCs w:val="24"/>
              </w:rPr>
              <w:t xml:space="preserve">投标样品递交：</w:t>
            </w:r>
            <w:r>
              <w:rPr>
                <w:rFonts w:hint="eastAsia"/>
                <w:sz w:val="24"/>
                <w:szCs w:val="24"/>
                <w:lang w:val="en-US" w:eastAsia="zh-CN"/>
              </w:rPr>
              <w:t xml:space="preserve"> </w:t>
            </w:r>
            <w:r>
              <w:rPr>
                <w:rFonts w:hint="eastAsia"/>
                <w:sz w:val="24"/>
                <w:szCs w:val="24"/>
                <w:lang w:eastAsia="zh-CN"/>
              </w:rPr>
              <w:t xml:space="preserve">☑</w:t>
            </w:r>
            <w:r>
              <w:rPr>
                <w:sz w:val="24"/>
                <w:szCs w:val="24"/>
              </w:rPr>
              <w:t xml:space="preserve">不需要</w:t>
            </w:r>
            <w:r>
              <w:rPr>
                <w:sz w:val="24"/>
                <w:szCs w:val="24"/>
              </w:rPr>
            </w:r>
            <w:r/>
          </w:p>
        </w:tc>
      </w:tr>
      <w:tr>
        <w:trPr>
          <w:trHeight w:val="1651"/>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rPr>
                <w:rFonts w:hint="eastAsia" w:ascii="Times New Roman" w:hAnsi="Times New Roman" w:eastAsia="宋体"/>
                <w:sz w:val="24"/>
                <w:szCs w:val="24"/>
                <w:lang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标的所属行业</w:t>
            </w:r>
            <w:r>
              <w:rPr>
                <w:sz w:val="24"/>
                <w:szCs w:val="24"/>
              </w:rPr>
            </w:r>
            <w:r/>
          </w:p>
        </w:tc>
        <w:tc>
          <w:tcPr>
            <w:tcW w:w="7145" w:type="dxa"/>
            <w:vAlign w:val="center"/>
            <w:textDirection w:val="lrTb"/>
            <w:noWrap w:val="false"/>
          </w:tcPr>
          <w:p>
            <w:pPr>
              <w:pStyle w:val="651"/>
              <w:jc w:val="both"/>
              <w:pageBreakBefore w:val="0"/>
              <w:spacing w:line="400" w:lineRule="exact"/>
              <w:widowControl w:val="off"/>
              <w:rPr>
                <w:sz w:val="24"/>
                <w:szCs w:val="24"/>
              </w:rPr>
            </w:pPr>
            <w:r>
              <w:rPr>
                <w:rFonts w:hint="eastAsia" w:ascii="宋体" w:hAnsi="宋体" w:eastAsia="宋体" w:cs="Times New Roman"/>
                <w:sz w:val="24"/>
                <w:szCs w:val="24"/>
                <w:lang w:val="zh-TW" w:eastAsia="zh-CN"/>
              </w:rPr>
              <w:t xml:space="preserve">本项</w:t>
            </w:r>
            <w:r>
              <w:rPr>
                <w:rFonts w:hint="eastAsia" w:ascii="宋体" w:hAnsi="宋体" w:eastAsia="宋体" w:cs="Times New Roman"/>
                <w:color w:val="000000"/>
                <w:sz w:val="24"/>
                <w:szCs w:val="24"/>
                <w:lang w:val="zh-TW" w:eastAsia="zh-CN"/>
              </w:rPr>
              <w:t xml:space="preserve">目属于</w:t>
            </w:r>
            <w:r>
              <w:rPr>
                <w:rFonts w:hint="eastAsia" w:ascii="宋体" w:hAnsi="宋体" w:eastAsia="宋体" w:cs="Times New Roman"/>
                <w:b/>
                <w:bCs/>
                <w:color w:val="000000"/>
                <w:sz w:val="24"/>
                <w:szCs w:val="24"/>
                <w:u w:val="single"/>
                <w:lang w:val="en-US" w:eastAsia="zh-CN"/>
              </w:rPr>
              <w:t xml:space="preserve">服务</w:t>
            </w:r>
            <w:r>
              <w:rPr>
                <w:rFonts w:hint="eastAsia" w:ascii="宋体" w:hAnsi="宋体" w:eastAsia="宋体" w:cs="Times New Roman"/>
                <w:b/>
                <w:bCs/>
                <w:color w:val="000000"/>
                <w:sz w:val="24"/>
                <w:szCs w:val="24"/>
                <w:u w:val="single"/>
                <w:lang w:val="zh-TW" w:eastAsia="zh-CN"/>
              </w:rPr>
              <w:t xml:space="preserve">类</w:t>
            </w:r>
            <w:r>
              <w:rPr>
                <w:rFonts w:hint="eastAsia" w:ascii="宋体" w:hAnsi="宋体" w:eastAsia="宋体" w:cs="Times New Roman"/>
                <w:color w:val="000000"/>
                <w:sz w:val="24"/>
                <w:szCs w:val="24"/>
                <w:lang w:val="zh-TW" w:eastAsia="zh-CN"/>
              </w:rPr>
              <w:t xml:space="preserve">，采购标的对应的中小企业划分标准所属行业：</w:t>
            </w:r>
            <w:r>
              <w:rPr>
                <w:rFonts w:hint="eastAsia"/>
                <w:b/>
                <w:bCs/>
                <w:color w:val="000000"/>
                <w:sz w:val="24"/>
                <w:szCs w:val="24"/>
                <w:u w:val="single"/>
              </w:rPr>
              <w:t xml:space="preserve">其他未列明行业</w:t>
            </w:r>
            <w:r>
              <w:rPr>
                <w:rFonts w:hint="eastAsia" w:ascii="宋体" w:hAnsi="宋体"/>
                <w:color w:val="000000"/>
                <w:sz w:val="24"/>
                <w:szCs w:val="24"/>
              </w:rPr>
              <w:t xml:space="preserve">（《</w:t>
            </w:r>
            <w:r>
              <w:rPr>
                <w:rFonts w:hint="eastAsia" w:ascii="宋体" w:hAnsi="宋体"/>
                <w:sz w:val="24"/>
                <w:szCs w:val="24"/>
              </w:rPr>
              <w:t xml:space="preserve">关于印发中小企业划型标准规定的通知》工信部联企业</w:t>
            </w:r>
            <w:r>
              <w:rPr>
                <w:rFonts w:hint="eastAsia" w:ascii="宋体" w:hAnsi="宋体"/>
                <w:sz w:val="24"/>
                <w:szCs w:val="24"/>
                <w:lang w:eastAsia="zh-CN"/>
              </w:rPr>
              <w:t xml:space="preserve">〔2011〕300号</w:t>
            </w:r>
            <w:r>
              <w:rPr>
                <w:rFonts w:hint="eastAsia" w:ascii="宋体" w:hAnsi="宋体"/>
                <w:sz w:val="24"/>
                <w:szCs w:val="24"/>
              </w:rPr>
              <w:t xml:space="preserve">）。在填写时请正确选择中小企业声明函类型（货物、服务或工程），如填写错误或未填报则会导致资格审查不通过（专门面向中小企业采购）或报价不作相应扣除。</w:t>
            </w:r>
            <w:r>
              <w:rPr>
                <w:sz w:val="24"/>
                <w:szCs w:val="24"/>
              </w:rPr>
            </w:r>
            <w:r/>
          </w:p>
        </w:tc>
      </w:tr>
      <w:tr>
        <w:trPr>
          <w:trHeight w:val="1651"/>
        </w:trPr>
        <w:tc>
          <w:tcPr>
            <w:tcW w:w="1011" w:type="dxa"/>
            <w:vAlign w:val="center"/>
            <w:textDirection w:val="lrTb"/>
            <w:noWrap w:val="false"/>
          </w:tcPr>
          <w:p>
            <w:pPr>
              <w:pStyle w:val="691"/>
              <w:jc w:val="center"/>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680" w:type="dxa"/>
            <w:vAlign w:val="center"/>
            <w:textDirection w:val="lrTb"/>
            <w:noWrap w:val="false"/>
          </w:tcPr>
          <w:p>
            <w:pPr>
              <w:pStyle w:val="651"/>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145" w:type="dxa"/>
            <w:vAlign w:val="center"/>
            <w:textDirection w:val="lrTb"/>
            <w:noWrap w:val="false"/>
          </w:tcPr>
          <w:p>
            <w:pPr>
              <w:pStyle w:val="651"/>
              <w:jc w:val="left"/>
              <w:keepLines w:val="0"/>
              <w:keepNext w:val="0"/>
              <w:pageBreakBefore w:val="0"/>
              <w:spacing w:after="0"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9"/>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9</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sz w:val="24"/>
                <w:szCs w:val="24"/>
                <w:lang w:val="en-US" w:eastAsia="zh-CN" w:bidi="ar-SA"/>
              </w:rPr>
            </w:pPr>
            <w:r>
              <w:rPr>
                <w:rFonts w:hint="eastAsia"/>
                <w:sz w:val="24"/>
                <w:szCs w:val="24"/>
              </w:rPr>
              <w:t xml:space="preserve">投标报价</w:t>
            </w:r>
            <w:r>
              <w:rPr>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sz w:val="24"/>
                <w:szCs w:val="24"/>
                <w:lang w:val="en-US" w:eastAsia="zh-CN" w:bidi="ar-SA"/>
              </w:rPr>
            </w:pPr>
            <w:r>
              <w:rPr>
                <w:rFonts w:hint="eastAsia"/>
                <w:sz w:val="24"/>
                <w:szCs w:val="24"/>
              </w:rPr>
              <w:t xml:space="preserve">投标报价的特殊规定：</w:t>
            </w:r>
            <w:r>
              <w:rPr>
                <w:rFonts w:hint="eastAsia"/>
                <w:sz w:val="24"/>
                <w:szCs w:val="24"/>
                <w:lang w:eastAsia="zh-CN"/>
              </w:rPr>
              <w:t xml:space="preserve">☑</w:t>
            </w:r>
            <w:r>
              <w:rPr>
                <w:sz w:val="24"/>
                <w:szCs w:val="24"/>
              </w:rPr>
              <w:t xml:space="preserve">无</w:t>
            </w:r>
            <w:r>
              <w:rPr>
                <w:sz w:val="24"/>
                <w:szCs w:val="24"/>
                <w:lang w:val="en-US" w:eastAsia="zh-CN" w:bidi="ar-SA"/>
              </w:rPr>
            </w:r>
            <w:r/>
          </w:p>
        </w:tc>
      </w:tr>
      <w:tr>
        <w:trPr>
          <w:trHeight w:val="430"/>
        </w:trPr>
        <w:tc>
          <w:tcPr>
            <w:tcW w:w="1011" w:type="dxa"/>
            <w:vAlign w:val="center"/>
            <w:textDirection w:val="lrTb"/>
            <w:noWrap w:val="false"/>
          </w:tcPr>
          <w:p>
            <w:pPr>
              <w:pStyle w:val="691"/>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10</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rFonts w:hint="eastAsia"/>
                <w:sz w:val="24"/>
                <w:szCs w:val="24"/>
                <w:lang w:val="en-US" w:eastAsia="zh-CN" w:bidi="ar-SA"/>
              </w:rPr>
            </w:pPr>
            <w:r>
              <w:rPr>
                <w:rFonts w:hint="eastAsia"/>
                <w:sz w:val="24"/>
                <w:szCs w:val="24"/>
              </w:rPr>
              <w:t xml:space="preserve">投标保证金</w:t>
            </w:r>
            <w:r>
              <w:rPr>
                <w:rFonts w:hint="eastAsia"/>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rFonts w:hint="eastAsia"/>
                <w:sz w:val="24"/>
                <w:szCs w:val="24"/>
                <w:lang w:val="en-US" w:eastAsia="zh-CN" w:bidi="ar-SA"/>
              </w:rPr>
            </w:pPr>
            <w:r>
              <w:rPr>
                <w:rFonts w:hint="eastAsia"/>
                <w:sz w:val="24"/>
                <w:szCs w:val="24"/>
              </w:rPr>
              <w:t xml:space="preserve">免收</w:t>
            </w:r>
            <w:r>
              <w:rPr>
                <w:rFonts w:hint="eastAsia"/>
                <w:sz w:val="24"/>
                <w:szCs w:val="24"/>
                <w:lang w:val="en-US" w:eastAsia="zh-CN" w:bidi="ar-SA"/>
              </w:rPr>
            </w:r>
            <w:r/>
          </w:p>
        </w:tc>
      </w:tr>
      <w:tr>
        <w:trPr>
          <w:trHeight w:val="430"/>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11</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rFonts w:eastAsia="宋体"/>
                <w:sz w:val="24"/>
                <w:szCs w:val="24"/>
                <w:highlight w:val="none"/>
                <w:lang w:val="en-US" w:eastAsia="zh-CN"/>
              </w:rPr>
            </w:pPr>
            <w:r>
              <w:rPr>
                <w:rFonts w:hint="eastAsia"/>
                <w:sz w:val="24"/>
                <w:szCs w:val="24"/>
                <w:highlight w:val="none"/>
                <w:lang w:val="en-US" w:eastAsia="zh-CN"/>
              </w:rPr>
              <w:t xml:space="preserve">履约保证金</w:t>
            </w:r>
            <w:r>
              <w:rPr>
                <w:rFonts w:eastAsia="宋体"/>
                <w:sz w:val="24"/>
                <w:szCs w:val="24"/>
                <w:highlight w:val="none"/>
                <w:lang w:val="en-US" w:eastAsia="zh-CN"/>
              </w:rPr>
            </w:r>
            <w:r/>
          </w:p>
        </w:tc>
        <w:tc>
          <w:tcPr>
            <w:tcW w:w="7145" w:type="dxa"/>
            <w:vAlign w:val="center"/>
            <w:textDirection w:val="lrTb"/>
            <w:noWrap w:val="false"/>
          </w:tcPr>
          <w:p>
            <w:pPr>
              <w:pStyle w:val="651"/>
              <w:jc w:val="left"/>
              <w:pageBreakBefore w:val="0"/>
              <w:spacing w:line="400" w:lineRule="exact"/>
              <w:widowControl w:val="off"/>
              <w:rPr>
                <w:rFonts w:hint="eastAsia"/>
                <w:sz w:val="24"/>
                <w:szCs w:val="24"/>
                <w:highlight w:val="none"/>
              </w:rPr>
            </w:pP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5</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自主选择以</w:t>
            </w:r>
            <w:r>
              <w:rPr>
                <w:rFonts w:hint="eastAsia" w:ascii="Times New Roman" w:eastAsia="宋体"/>
                <w:sz w:val="24"/>
                <w:highlight w:val="none"/>
                <w:lang w:val="en-US" w:eastAsia="zh-CN"/>
              </w:rPr>
              <w:t xml:space="preserve">现金或银行保函</w:t>
            </w:r>
            <w:r>
              <w:rPr>
                <w:rFonts w:hint="eastAsia" w:ascii="Times New Roman" w:eastAsia="宋体"/>
                <w:sz w:val="24"/>
                <w:highlight w:val="none"/>
                <w:lang w:val="zh-TW" w:eastAsia="zh-CN"/>
              </w:rPr>
              <w:t xml:space="preserve">等形式缴纳或递交），按照省市有关文件精神，鼓励优先采用电子履约保函（保险）形式。</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将在终验完毕后返还乙方履约保证金。</w:t>
            </w:r>
            <w:r>
              <w:rPr>
                <w:rFonts w:hint="eastAsia"/>
                <w:sz w:val="24"/>
                <w:szCs w:val="24"/>
                <w:highlight w:val="none"/>
              </w:rPr>
            </w:r>
            <w:r/>
          </w:p>
        </w:tc>
      </w:tr>
      <w:tr>
        <w:trPr>
          <w:trHeight w:val="545"/>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12</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rFonts w:hint="eastAsia"/>
                <w:sz w:val="24"/>
                <w:szCs w:val="24"/>
                <w:lang w:val="en-US" w:eastAsia="zh-CN" w:bidi="ar-SA"/>
              </w:rPr>
            </w:pPr>
            <w:r>
              <w:rPr>
                <w:sz w:val="24"/>
                <w:szCs w:val="24"/>
              </w:rPr>
              <w:t xml:space="preserve">投标有效期</w:t>
            </w:r>
            <w:r>
              <w:rPr>
                <w:rFonts w:hint="eastAsia"/>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rFonts w:hint="eastAsia"/>
                <w:sz w:val="24"/>
                <w:szCs w:val="24"/>
                <w:lang w:val="en-US" w:eastAsia="zh-CN" w:bidi="ar-SA"/>
              </w:rPr>
            </w:pPr>
            <w:r>
              <w:rPr>
                <w:sz w:val="24"/>
                <w:szCs w:val="24"/>
              </w:rPr>
              <w:t xml:space="preserve">自提交投标文件的截止之日起算</w:t>
            </w:r>
            <w:r>
              <w:rPr>
                <w:rFonts w:hint="eastAsia"/>
                <w:sz w:val="24"/>
                <w:szCs w:val="24"/>
                <w:u w:val="single"/>
                <w:lang w:val="en-US" w:eastAsia="zh-CN"/>
              </w:rPr>
              <w:t xml:space="preserve">120</w:t>
            </w:r>
            <w:r>
              <w:rPr>
                <w:sz w:val="24"/>
                <w:szCs w:val="24"/>
              </w:rPr>
              <w:t xml:space="preserve">日历天。</w:t>
            </w:r>
            <w:r>
              <w:rPr>
                <w:rFonts w:hint="eastAsia"/>
                <w:sz w:val="24"/>
                <w:szCs w:val="24"/>
                <w:lang w:val="en-US" w:eastAsia="zh-CN" w:bidi="ar-SA"/>
              </w:rPr>
            </w:r>
            <w:r/>
          </w:p>
        </w:tc>
      </w:tr>
      <w:tr>
        <w:trPr>
          <w:trHeight w:val="545"/>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份数</w:t>
            </w:r>
            <w:r>
              <w:rPr>
                <w:rFonts w:hint="eastAsia"/>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无需提供纸质</w:t>
            </w: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51"/>
              <w:jc w:val="left"/>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中标供应商</w:t>
            </w:r>
            <w:r>
              <w:rPr>
                <w:rFonts w:hint="eastAsia" w:ascii="Times New Roman" w:hAnsi="Times New Roman" w:eastAsia="宋体" w:cs="Times New Roman"/>
                <w:sz w:val="24"/>
                <w:szCs w:val="24"/>
              </w:rPr>
              <w:t xml:space="preserve">在领取中标通知书前须向</w:t>
            </w:r>
            <w:r>
              <w:rPr>
                <w:rFonts w:hint="eastAsia" w:ascii="Times New Roman" w:hAnsi="Times New Roman" w:eastAsia="宋体" w:cs="Times New Roman"/>
                <w:sz w:val="24"/>
                <w:szCs w:val="24"/>
                <w:lang w:eastAsia="zh-CN"/>
              </w:rPr>
              <w:t xml:space="preserve">采购人</w:t>
            </w:r>
            <w:r>
              <w:rPr>
                <w:rFonts w:hint="eastAsia" w:ascii="Times New Roman" w:hAnsi="Times New Roman" w:eastAsia="宋体" w:cs="Times New Roman"/>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sz w:val="24"/>
                <w:szCs w:val="24"/>
                <w:u w:val="single"/>
                <w:lang w:val="en-US" w:eastAsia="zh-CN"/>
              </w:rPr>
              <w:t xml:space="preserve"> 3 </w:t>
            </w:r>
            <w:r>
              <w:rPr>
                <w:rFonts w:hint="eastAsia" w:ascii="Times New Roman" w:hAnsi="Times New Roman" w:eastAsia="宋体" w:cs="Times New Roman"/>
                <w:sz w:val="24"/>
                <w:szCs w:val="24"/>
              </w:rPr>
              <w:t xml:space="preserve">份，并按要求签字盖章，纸质投标书需胶装。</w:t>
            </w:r>
            <w:r>
              <w:rPr>
                <w:rFonts w:hint="eastAsia"/>
                <w:sz w:val="24"/>
                <w:szCs w:val="24"/>
                <w:lang w:val="en-US" w:eastAsia="zh-CN" w:bidi="ar-SA"/>
              </w:rPr>
            </w:r>
            <w:r/>
          </w:p>
        </w:tc>
      </w:tr>
      <w:tr>
        <w:trPr>
          <w:trHeight w:val="545"/>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sz w:val="24"/>
                <w:szCs w:val="24"/>
                <w:lang w:val="en-US" w:eastAsia="zh-CN" w:bidi="ar-SA"/>
              </w:rPr>
            </w:pPr>
            <w:r>
              <w:rPr>
                <w:sz w:val="24"/>
                <w:szCs w:val="24"/>
              </w:rPr>
              <w:t xml:space="preserve">解密地点</w:t>
            </w:r>
            <w:r>
              <w:rPr>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sz w:val="24"/>
                <w:szCs w:val="24"/>
                <w:lang w:val="en-US" w:eastAsia="zh-CN" w:bidi="ar-SA"/>
              </w:rPr>
            </w:pPr>
            <w:r>
              <w:rPr>
                <w:sz w:val="24"/>
                <w:szCs w:val="24"/>
              </w:rPr>
              <w:t xml:space="preserve">地点：</w:t>
            </w:r>
            <w:r>
              <w:rPr>
                <w:rFonts w:hint="eastAsia"/>
                <w:sz w:val="24"/>
                <w:szCs w:val="24"/>
                <w:u w:val="single"/>
                <w:lang w:val="en-US" w:eastAsia="zh-CN"/>
              </w:rPr>
              <w:t xml:space="preserve">通过系统在线解密</w:t>
            </w:r>
            <w:r>
              <w:rPr>
                <w:sz w:val="24"/>
                <w:szCs w:val="24"/>
              </w:rPr>
              <w:t xml:space="preserve">。</w:t>
            </w:r>
            <w:r>
              <w:rPr>
                <w:sz w:val="24"/>
                <w:szCs w:val="24"/>
                <w:lang w:val="en-US" w:eastAsia="zh-CN" w:bidi="ar-SA"/>
              </w:rPr>
            </w:r>
            <w:r/>
          </w:p>
        </w:tc>
      </w:tr>
      <w:tr>
        <w:trPr>
          <w:trHeight w:val="545"/>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sz w:val="24"/>
                <w:szCs w:val="24"/>
                <w:lang w:val="en-US" w:eastAsia="zh-CN" w:bidi="ar-SA"/>
              </w:rPr>
            </w:pPr>
            <w:r>
              <w:rPr>
                <w:sz w:val="24"/>
                <w:szCs w:val="24"/>
              </w:rPr>
              <w:t xml:space="preserve">分包</w:t>
            </w:r>
            <w:r>
              <w:rPr>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sz w:val="24"/>
                <w:szCs w:val="24"/>
                <w:u w:val="single"/>
                <w:lang w:val="en-US" w:eastAsia="zh-CN" w:bidi="ar-SA"/>
              </w:rPr>
            </w:pPr>
            <w:r>
              <w:rPr>
                <w:sz w:val="24"/>
                <w:szCs w:val="24"/>
              </w:rPr>
              <w:t xml:space="preserve">本项目的非主体、非关键性工作是否允许分包： </w:t>
            </w:r>
            <w:r>
              <w:rPr>
                <w:rFonts w:hint="eastAsia"/>
                <w:sz w:val="24"/>
                <w:szCs w:val="24"/>
                <w:lang w:eastAsia="zh-CN"/>
              </w:rPr>
              <w:t xml:space="preserve">☑</w:t>
            </w:r>
            <w:r>
              <w:rPr>
                <w:sz w:val="24"/>
                <w:szCs w:val="24"/>
              </w:rPr>
              <w:t xml:space="preserve">不允许</w:t>
            </w:r>
            <w:r>
              <w:rPr>
                <w:sz w:val="24"/>
                <w:szCs w:val="24"/>
                <w:u w:val="single"/>
                <w:lang w:val="en-US" w:eastAsia="zh-CN" w:bidi="ar-SA"/>
              </w:rPr>
            </w:r>
            <w:r/>
          </w:p>
        </w:tc>
      </w:tr>
      <w:tr>
        <w:trPr>
          <w:trHeight w:val="545"/>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16</w:t>
            </w:r>
            <w:r>
              <w:rPr>
                <w:rFonts w:ascii="Times New Roman" w:hAnsi="Times New Roman"/>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sz w:val="24"/>
                <w:szCs w:val="24"/>
                <w:lang w:val="en-US" w:eastAsia="zh-CN" w:bidi="ar-SA"/>
              </w:rPr>
            </w:pPr>
            <w:r>
              <w:rPr>
                <w:sz w:val="24"/>
                <w:szCs w:val="24"/>
              </w:rPr>
              <w:t xml:space="preserve">询问</w:t>
            </w:r>
            <w:r>
              <w:rPr>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rFonts w:hint="eastAsia"/>
                <w:sz w:val="24"/>
                <w:szCs w:val="24"/>
                <w:lang w:val="en-US" w:eastAsia="zh-CN" w:bidi="ar-SA"/>
              </w:rPr>
            </w:pPr>
            <w:r>
              <w:rPr>
                <w:rFonts w:hint="eastAsia"/>
                <w:sz w:val="24"/>
                <w:szCs w:val="24"/>
                <w:lang w:val="en-US" w:eastAsia="zh-CN" w:bidi="ar-SA"/>
              </w:rPr>
              <w:t xml:space="preserve">已登记参加本项目的投标人对招标文件如有疑问，</w:t>
            </w:r>
            <w:r>
              <w:rPr>
                <w:rFonts w:hint="eastAsia" w:ascii="Times New Roman" w:hAnsi="Times New Roman" w:eastAsia="宋体" w:cs="Times New Roman"/>
                <w:sz w:val="24"/>
                <w:szCs w:val="24"/>
                <w:lang w:val="en-US" w:eastAsia="zh-CN" w:bidi="ar-SA"/>
              </w:rPr>
              <w:t xml:space="preserve">可于</w:t>
            </w:r>
            <w:r>
              <w:rPr>
                <w:rFonts w:hint="eastAsia" w:ascii="Times New Roman" w:hAnsi="Times New Roman" w:eastAsia="宋体" w:cs="Times New Roman"/>
                <w:color w:val="0000ff"/>
                <w:sz w:val="24"/>
                <w:szCs w:val="24"/>
                <w:u w:val="single"/>
                <w:lang w:val="en-US" w:eastAsia="zh-CN" w:bidi="ar-SA"/>
              </w:rPr>
              <w:t xml:space="preserve">2026年7月2</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color w:val="0000ff"/>
                <w:sz w:val="24"/>
                <w:szCs w:val="24"/>
                <w:u w:val="single"/>
                <w:lang w:val="en-US" w:eastAsia="zh-CN" w:bidi="ar-SA"/>
              </w:rPr>
              <w:t xml:space="preserve">日17时00分前</w:t>
            </w:r>
            <w:r>
              <w:rPr>
                <w:rFonts w:hint="eastAsia" w:ascii="Times New Roman" w:hAnsi="Times New Roman" w:eastAsia="宋体" w:cs="Times New Roman"/>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sz w:val="24"/>
                <w:szCs w:val="24"/>
                <w:lang w:val="en-US" w:eastAsia="zh-CN" w:bidi="ar-SA"/>
              </w:rPr>
              <w:fldChar w:fldCharType="end"/>
            </w:r>
            <w:r>
              <w:rPr>
                <w:rFonts w:hint="eastAsia"/>
                <w:sz w:val="24"/>
                <w:szCs w:val="24"/>
                <w:lang w:val="en-US" w:eastAsia="zh-CN" w:bidi="ar-SA"/>
              </w:rPr>
            </w:r>
            <w:r/>
          </w:p>
          <w:p>
            <w:pPr>
              <w:pStyle w:val="651"/>
              <w:jc w:val="left"/>
              <w:pageBreakBefore w:val="0"/>
              <w:spacing w:line="400" w:lineRule="exact"/>
              <w:widowControl w:val="off"/>
              <w:rPr>
                <w:sz w:val="24"/>
                <w:szCs w:val="24"/>
                <w:lang w:val="en-US" w:eastAsia="zh-CN" w:bidi="ar-SA"/>
              </w:rPr>
            </w:pPr>
            <w:r>
              <w:rPr>
                <w:rFonts w:hint="eastAsia"/>
                <w:sz w:val="24"/>
                <w:szCs w:val="24"/>
                <w:lang w:val="en-US" w:eastAsia="zh-CN" w:bidi="ar-SA"/>
              </w:rPr>
              <w:t xml:space="preserve">未提出疑问将被视为完全认同招标文件，逾期将不接受其对于采购文件的相关异议。如有变更，更正公告将会在常州市政府采购网公布。</w:t>
            </w:r>
            <w:r>
              <w:rPr>
                <w:sz w:val="24"/>
                <w:szCs w:val="24"/>
                <w:lang w:val="en-US" w:eastAsia="zh-CN" w:bidi="ar-SA"/>
              </w:rPr>
            </w:r>
            <w:r/>
          </w:p>
        </w:tc>
      </w:tr>
      <w:tr>
        <w:trPr>
          <w:trHeight w:val="1775"/>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17</w:t>
            </w:r>
            <w:r>
              <w:rPr>
                <w:rFonts w:ascii="Times New Roman" w:hAnsi="Times New Roman"/>
                <w:sz w:val="24"/>
                <w:szCs w:val="24"/>
                <w:lang w:val="en-US" w:eastAsia="zh-CN" w:bidi="ar-SA"/>
              </w:rPr>
            </w:r>
            <w:r/>
          </w:p>
        </w:tc>
        <w:tc>
          <w:tcPr>
            <w:tcW w:w="1680" w:type="dxa"/>
            <w:vAlign w:val="center"/>
            <w:textDirection w:val="lrTb"/>
            <w:noWrap w:val="false"/>
          </w:tcPr>
          <w:p>
            <w:pPr>
              <w:pStyle w:val="651"/>
              <w:jc w:val="center"/>
              <w:pageBreakBefore w:val="0"/>
              <w:spacing w:line="400" w:lineRule="exact"/>
              <w:widowControl w:val="off"/>
              <w:rPr>
                <w:sz w:val="24"/>
                <w:szCs w:val="24"/>
                <w:lang w:val="en-US" w:eastAsia="zh-CN" w:bidi="ar-SA"/>
              </w:rPr>
            </w:pPr>
            <w:r>
              <w:rPr>
                <w:sz w:val="24"/>
                <w:szCs w:val="24"/>
              </w:rPr>
              <w:t xml:space="preserve">联系方式</w:t>
            </w:r>
            <w:r>
              <w:rPr>
                <w:sz w:val="24"/>
                <w:szCs w:val="24"/>
                <w:lang w:val="en-US" w:eastAsia="zh-CN" w:bidi="ar-SA"/>
              </w:rPr>
            </w:r>
            <w:r/>
          </w:p>
        </w:tc>
        <w:tc>
          <w:tcPr>
            <w:tcW w:w="7145" w:type="dxa"/>
            <w:vAlign w:val="center"/>
            <w:textDirection w:val="lrTb"/>
            <w:noWrap w:val="false"/>
          </w:tcPr>
          <w:p>
            <w:pPr>
              <w:pStyle w:val="651"/>
              <w:jc w:val="left"/>
              <w:pageBreakBefore w:val="0"/>
              <w:spacing w:line="400" w:lineRule="exact"/>
              <w:widowControl w:val="off"/>
              <w:rPr>
                <w:sz w:val="24"/>
                <w:szCs w:val="24"/>
              </w:rPr>
            </w:pPr>
            <w:r>
              <w:rPr>
                <w:sz w:val="24"/>
                <w:szCs w:val="24"/>
              </w:rPr>
              <w:t xml:space="preserve">接收询问和质疑的联系方式：</w:t>
            </w:r>
            <w:r>
              <w:rPr>
                <w:sz w:val="24"/>
                <w:szCs w:val="24"/>
              </w:rPr>
            </w:r>
            <w:r/>
          </w:p>
          <w:p>
            <w:pPr>
              <w:pStyle w:val="651"/>
              <w:jc w:val="left"/>
              <w:pageBreakBefore w:val="0"/>
              <w:spacing w:line="400" w:lineRule="exact"/>
              <w:widowControl w:val="off"/>
              <w:rPr>
                <w:sz w:val="24"/>
                <w:szCs w:val="24"/>
              </w:rPr>
            </w:pPr>
            <w:r>
              <w:rPr>
                <w:sz w:val="24"/>
                <w:szCs w:val="24"/>
              </w:rPr>
              <w:t xml:space="preserve">联系部门：</w:t>
            </w:r>
            <w:r>
              <w:rPr>
                <w:rFonts w:hint="eastAsia"/>
                <w:sz w:val="24"/>
                <w:szCs w:val="24"/>
                <w:u w:val="single"/>
                <w:lang w:eastAsia="zh-CN"/>
              </w:rPr>
              <w:t xml:space="preserve">江苏铭硕全过程项目管理有限公司</w:t>
            </w:r>
            <w:r>
              <w:rPr>
                <w:sz w:val="24"/>
                <w:szCs w:val="24"/>
              </w:rPr>
              <w:t xml:space="preserve">；</w:t>
            </w:r>
            <w:r>
              <w:rPr>
                <w:sz w:val="24"/>
                <w:szCs w:val="24"/>
              </w:rPr>
            </w:r>
            <w:r/>
          </w:p>
          <w:p>
            <w:pPr>
              <w:pStyle w:val="651"/>
              <w:jc w:val="left"/>
              <w:pageBreakBefore w:val="0"/>
              <w:spacing w:line="400" w:lineRule="exact"/>
              <w:widowControl w:val="off"/>
              <w:rPr>
                <w:sz w:val="24"/>
                <w:szCs w:val="24"/>
              </w:rPr>
            </w:pPr>
            <w:r>
              <w:rPr>
                <w:sz w:val="24"/>
                <w:szCs w:val="24"/>
              </w:rPr>
              <w:t xml:space="preserve">联系电话：</w:t>
            </w:r>
            <w:r>
              <w:rPr>
                <w:rFonts w:hint="eastAsia"/>
                <w:sz w:val="24"/>
                <w:szCs w:val="24"/>
                <w:u w:val="single"/>
                <w:lang w:val="en-US" w:eastAsia="zh-CN"/>
              </w:rPr>
              <w:t xml:space="preserve">0519-82618969</w:t>
            </w:r>
            <w:r>
              <w:rPr>
                <w:sz w:val="24"/>
                <w:szCs w:val="24"/>
              </w:rPr>
              <w:t xml:space="preserve">；</w:t>
            </w:r>
            <w:r>
              <w:rPr>
                <w:sz w:val="24"/>
                <w:szCs w:val="24"/>
              </w:rPr>
            </w:r>
            <w:r/>
          </w:p>
          <w:p>
            <w:pPr>
              <w:pStyle w:val="651"/>
              <w:jc w:val="left"/>
              <w:pageBreakBefore w:val="0"/>
              <w:spacing w:line="400" w:lineRule="exact"/>
              <w:widowControl w:val="off"/>
              <w:rPr>
                <w:sz w:val="24"/>
                <w:szCs w:val="24"/>
                <w:lang w:val="en-US" w:eastAsia="zh-CN" w:bidi="ar-SA"/>
              </w:rPr>
            </w:pPr>
            <w:r>
              <w:rPr>
                <w:sz w:val="24"/>
                <w:szCs w:val="24"/>
              </w:rPr>
              <w:t xml:space="preserve">通讯地址：</w:t>
            </w:r>
            <w:r>
              <w:rPr>
                <w:rFonts w:hint="eastAsia"/>
                <w:sz w:val="24"/>
                <w:szCs w:val="24"/>
                <w:u w:val="single"/>
              </w:rPr>
              <w:t xml:space="preserve">常州市金坛区金鑫路165号中景商务楼A座8楼809室</w:t>
            </w:r>
            <w:r>
              <w:rPr>
                <w:sz w:val="24"/>
                <w:szCs w:val="24"/>
                <w:u w:val="single"/>
              </w:rPr>
              <w:t xml:space="preserve">。</w:t>
            </w:r>
            <w:r>
              <w:rPr>
                <w:sz w:val="24"/>
                <w:szCs w:val="24"/>
                <w:lang w:val="en-US" w:eastAsia="zh-CN" w:bidi="ar-SA"/>
              </w:rPr>
            </w:r>
            <w:r/>
          </w:p>
        </w:tc>
      </w:tr>
      <w:tr>
        <w:trPr>
          <w:trHeight w:val="1780"/>
        </w:trPr>
        <w:tc>
          <w:tcPr>
            <w:tcW w:w="1011" w:type="dxa"/>
            <w:vAlign w:val="center"/>
            <w:textDirection w:val="lrTb"/>
            <w:noWrap w:val="false"/>
          </w:tcPr>
          <w:p>
            <w:pPr>
              <w:pStyle w:val="691"/>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18</w:t>
            </w:r>
            <w:r>
              <w:rPr>
                <w:rFonts w:ascii="Times New Roman" w:hAnsi="Times New Roman" w:eastAsia="宋体"/>
                <w:sz w:val="24"/>
                <w:szCs w:val="24"/>
                <w:lang w:val="en-US" w:eastAsia="zh-CN"/>
              </w:rPr>
            </w:r>
            <w:r/>
          </w:p>
        </w:tc>
        <w:tc>
          <w:tcPr>
            <w:tcW w:w="1680" w:type="dxa"/>
            <w:vAlign w:val="center"/>
            <w:textDirection w:val="lrTb"/>
            <w:noWrap w:val="false"/>
          </w:tcPr>
          <w:p>
            <w:pPr>
              <w:pStyle w:val="651"/>
              <w:jc w:val="center"/>
              <w:pageBreakBefore w:val="0"/>
              <w:spacing w:line="400" w:lineRule="exact"/>
              <w:widowControl w:val="off"/>
              <w:rPr>
                <w:sz w:val="24"/>
                <w:szCs w:val="24"/>
              </w:rPr>
            </w:pPr>
            <w:r>
              <w:rPr>
                <w:sz w:val="24"/>
                <w:szCs w:val="24"/>
              </w:rPr>
              <w:t xml:space="preserve">代理费</w:t>
            </w:r>
            <w:r>
              <w:rPr>
                <w:sz w:val="24"/>
                <w:szCs w:val="24"/>
              </w:rPr>
            </w:r>
            <w:r/>
          </w:p>
        </w:tc>
        <w:tc>
          <w:tcPr>
            <w:tcW w:w="7145" w:type="dxa"/>
            <w:vAlign w:val="center"/>
            <w:textDirection w:val="lrTb"/>
            <w:noWrap w:val="false"/>
          </w:tcPr>
          <w:p>
            <w:pPr>
              <w:pStyle w:val="651"/>
              <w:jc w:val="left"/>
              <w:pageBreakBefore w:val="0"/>
              <w:spacing w:line="400" w:lineRule="exact"/>
              <w:widowControl w:val="off"/>
              <w:rPr>
                <w:rFonts w:hint="eastAsia" w:eastAsia="宋体"/>
                <w:sz w:val="24"/>
                <w:szCs w:val="24"/>
                <w:lang w:eastAsia="zh-CN"/>
              </w:rPr>
            </w:pPr>
            <w:r>
              <w:rPr>
                <w:sz w:val="24"/>
                <w:szCs w:val="24"/>
              </w:rPr>
              <w:t xml:space="preserve">收费对象：</w:t>
            </w:r>
            <w:r>
              <w:rPr>
                <w:rFonts w:ascii="Wingdings 2" w:hAnsi="Wingdings 2" w:eastAsia="Wingdings 2" w:cs="Wingdings 2"/>
                <w:sz w:val="24"/>
                <w:szCs w:val="24"/>
              </w:rPr>
              <w:t xml:space="preserve">£</w:t>
            </w:r>
            <w:r>
              <w:rPr>
                <w:sz w:val="24"/>
                <w:szCs w:val="24"/>
              </w:rPr>
              <w:t xml:space="preserve">采购人</w:t>
            </w:r>
            <w:r>
              <w:rPr>
                <w:rFonts w:hint="eastAsia"/>
                <w:sz w:val="24"/>
                <w:szCs w:val="24"/>
                <w:lang w:val="en-US" w:eastAsia="zh-CN"/>
              </w:rPr>
              <w:t xml:space="preserve">    </w:t>
            </w:r>
            <w:r>
              <w:rPr>
                <w:rFonts w:ascii="Wingdings 2" w:hAnsi="Wingdings 2" w:eastAsia="Wingdings 2" w:cs="Wingdings 2"/>
                <w:sz w:val="24"/>
                <w:szCs w:val="24"/>
              </w:rPr>
              <w:t xml:space="preserve">R</w:t>
            </w:r>
            <w:r>
              <w:rPr>
                <w:rFonts w:hint="eastAsia"/>
                <w:sz w:val="24"/>
                <w:szCs w:val="24"/>
                <w:lang w:eastAsia="zh-CN"/>
              </w:rPr>
              <w:t xml:space="preserve">中标人</w:t>
            </w:r>
            <w:r>
              <w:rPr>
                <w:rFonts w:hint="eastAsia" w:eastAsia="宋体"/>
                <w:sz w:val="24"/>
                <w:szCs w:val="24"/>
                <w:lang w:eastAsia="zh-CN"/>
              </w:rPr>
            </w:r>
            <w:r/>
          </w:p>
          <w:p>
            <w:pPr>
              <w:pStyle w:val="651"/>
              <w:jc w:val="left"/>
              <w:pageBreakBefore w:val="0"/>
              <w:spacing w:line="400" w:lineRule="exact"/>
              <w:widowControl w:val="off"/>
              <w:rPr>
                <w:rFonts w:ascii="Times New Roman" w:hAnsi="Times New Roman" w:eastAsia="宋体" w:cs="Times New Roman"/>
                <w:sz w:val="24"/>
                <w:szCs w:val="24"/>
                <w:u w:val="single"/>
                <w:lang w:val="en-US" w:eastAsia="zh-CN"/>
              </w:rPr>
            </w:pPr>
            <w:r>
              <w:rPr>
                <w:sz w:val="24"/>
                <w:szCs w:val="24"/>
              </w:rPr>
              <w:t xml:space="preserve">收费标准：</w:t>
            </w:r>
            <w:r>
              <w:rPr>
                <w:rFonts w:hint="eastAsia"/>
                <w:sz w:val="24"/>
                <w:szCs w:val="24"/>
                <w:u w:val="single"/>
              </w:rPr>
              <w:t xml:space="preserve">成交供应商须按其</w:t>
            </w:r>
            <w:r>
              <w:rPr>
                <w:rFonts w:hint="eastAsia"/>
                <w:sz w:val="24"/>
                <w:szCs w:val="24"/>
                <w:u w:val="single"/>
                <w:lang w:val="en-US" w:eastAsia="zh-CN"/>
              </w:rPr>
              <w:t xml:space="preserve">中标价</w:t>
            </w:r>
            <w:r>
              <w:rPr>
                <w:rFonts w:hint="eastAsia"/>
                <w:sz w:val="24"/>
                <w:szCs w:val="24"/>
                <w:u w:val="single"/>
              </w:rPr>
              <w:t xml:space="preserve">的</w:t>
            </w:r>
            <w:r>
              <w:rPr>
                <w:rFonts w:hint="eastAsia" w:ascii="Times New Roman" w:hAnsi="Times New Roman" w:eastAsia="宋体" w:cs="Times New Roman"/>
                <w:sz w:val="24"/>
                <w:szCs w:val="24"/>
                <w:u w:val="single"/>
                <w:lang w:val="en-US" w:eastAsia="zh-CN"/>
              </w:rPr>
              <w:t xml:space="preserve">0.8</w:t>
            </w:r>
            <w:r>
              <w:rPr>
                <w:rFonts w:hint="eastAsia" w:ascii="Times New Roman" w:hAnsi="Times New Roman" w:eastAsia="宋体" w:cs="Times New Roman"/>
                <w:sz w:val="24"/>
                <w:szCs w:val="24"/>
                <w:u w:val="single"/>
              </w:rPr>
              <w:t xml:space="preserve">%计</w:t>
            </w:r>
            <w:r>
              <w:rPr>
                <w:rFonts w:hint="eastAsia"/>
                <w:sz w:val="24"/>
                <w:szCs w:val="24"/>
                <w:u w:val="single"/>
              </w:rPr>
              <w:t xml:space="preserve">算并支付代理费</w:t>
            </w:r>
            <w:r>
              <w:rPr>
                <w:rFonts w:hint="eastAsia" w:ascii="Times New Roman" w:hAnsi="Times New Roman" w:eastAsia="宋体" w:cs="Times New Roman"/>
                <w:sz w:val="24"/>
                <w:szCs w:val="24"/>
                <w:u w:val="single"/>
                <w:lang w:eastAsia="zh-CN"/>
              </w:rPr>
              <w:t xml:space="preserve">；</w:t>
            </w:r>
            <w:r>
              <w:rPr>
                <w:rFonts w:ascii="Times New Roman" w:hAnsi="Times New Roman" w:eastAsia="宋体" w:cs="Times New Roman"/>
                <w:sz w:val="24"/>
                <w:szCs w:val="24"/>
                <w:u w:val="single"/>
                <w:lang w:val="en-US" w:eastAsia="zh-CN"/>
              </w:rPr>
            </w:r>
            <w:r/>
          </w:p>
          <w:p>
            <w:pPr>
              <w:pStyle w:val="651"/>
              <w:jc w:val="left"/>
              <w:pageBreakBefore w:val="0"/>
              <w:spacing w:line="400" w:lineRule="exact"/>
              <w:widowControl w:val="off"/>
              <w:rPr>
                <w:sz w:val="24"/>
                <w:szCs w:val="24"/>
              </w:rPr>
            </w:pPr>
            <w:r>
              <w:rPr>
                <w:sz w:val="24"/>
                <w:szCs w:val="24"/>
              </w:rPr>
              <w:t xml:space="preserve">时间：</w:t>
            </w:r>
            <w:r>
              <w:rPr>
                <w:rFonts w:hint="eastAsia"/>
                <w:sz w:val="24"/>
                <w:szCs w:val="24"/>
                <w:u w:val="single"/>
                <w:lang w:val="en-US" w:eastAsia="zh-CN"/>
              </w:rPr>
              <w:t xml:space="preserve">由中标人在领取中标通知书时支付代理费，请投标单位综合考虑</w:t>
            </w:r>
            <w:r>
              <w:rPr>
                <w:sz w:val="24"/>
                <w:szCs w:val="24"/>
                <w:u w:val="none"/>
              </w:rPr>
              <w:t xml:space="preserve">。</w:t>
            </w:r>
            <w:r>
              <w:rPr>
                <w:sz w:val="24"/>
                <w:szCs w:val="24"/>
              </w:rPr>
            </w:r>
            <w:r/>
          </w:p>
        </w:tc>
      </w:tr>
    </w:tbl>
    <w:p>
      <w:pPr>
        <w:pStyle w:val="651"/>
        <w:jc w:val="center"/>
        <w:keepLines w:val="0"/>
        <w:keepNext w:val="0"/>
        <w:pageBreakBefore w:val="0"/>
        <w:spacing w:before="240" w:after="240" w:line="380" w:lineRule="exact"/>
        <w:widowControl w:val="off"/>
        <w:rPr>
          <w:b/>
          <w:sz w:val="28"/>
          <w:szCs w:val="28"/>
        </w:rPr>
        <w:outlineLvl w:val="2"/>
      </w:pPr>
      <w:r>
        <w:br w:type="page" w:clear="all"/>
      </w:r>
      <w:bookmarkStart w:id="71" w:name="_Toc226337213"/>
      <w:r/>
      <w:bookmarkStart w:id="72" w:name="_Toc226965790"/>
      <w:r/>
      <w:bookmarkStart w:id="73" w:name="_Toc150774722"/>
      <w:r/>
      <w:bookmarkStart w:id="74" w:name="_Toc127151517"/>
      <w:r/>
      <w:bookmarkStart w:id="75" w:name="_Toc353873662"/>
      <w:r/>
      <w:bookmarkStart w:id="76" w:name="_Toc264969207"/>
      <w:r/>
      <w:bookmarkStart w:id="77" w:name="_Toc353825542"/>
      <w:r/>
      <w:bookmarkStart w:id="78" w:name="_Toc150480755"/>
      <w:r/>
      <w:bookmarkStart w:id="79" w:name="_Toc353873932"/>
      <w:r/>
      <w:bookmarkStart w:id="80" w:name="_Toc305158785"/>
      <w:r/>
      <w:bookmarkStart w:id="81" w:name="_Toc195842882"/>
      <w:r/>
      <w:bookmarkStart w:id="82" w:name="_Toc142311019"/>
      <w:r/>
      <w:bookmarkStart w:id="83" w:name="_Toc265228355"/>
      <w:r/>
      <w:bookmarkStart w:id="84" w:name="_Toc305158859"/>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653"/>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265228356"/>
      <w:r/>
      <w:bookmarkStart w:id="88" w:name="_Toc142311020"/>
      <w:r/>
      <w:bookmarkStart w:id="89" w:name="_Toc226337214"/>
      <w:r/>
      <w:bookmarkStart w:id="90" w:name="_Toc195842883"/>
      <w:r/>
      <w:bookmarkStart w:id="91" w:name="_Toc150774618"/>
      <w:r/>
      <w:bookmarkStart w:id="92" w:name="_Toc151193832"/>
      <w:r/>
      <w:bookmarkStart w:id="93" w:name="_Toc264969208"/>
      <w:r/>
      <w:bookmarkStart w:id="94" w:name="_Toc151193616"/>
      <w:r/>
      <w:bookmarkStart w:id="95" w:name="_Toc151193760"/>
      <w:r/>
      <w:bookmarkStart w:id="96" w:name="_Toc226309762"/>
      <w:r/>
      <w:bookmarkStart w:id="97" w:name="_Toc226965791"/>
      <w:r/>
      <w:bookmarkStart w:id="98" w:name="_Toc150774723"/>
      <w:r/>
      <w:bookmarkStart w:id="99" w:name="_Toc226965708"/>
      <w:r/>
      <w:bookmarkStart w:id="100" w:name="_Toc305158860"/>
      <w:r/>
      <w:bookmarkStart w:id="101" w:name="_Toc150509269"/>
      <w:r/>
      <w:bookmarkStart w:id="102" w:name="_Toc151193906"/>
      <w:r/>
      <w:bookmarkStart w:id="103" w:name="_Toc305158786"/>
      <w:r/>
      <w:bookmarkStart w:id="104" w:name="_Toc151193688"/>
      <w:r/>
      <w:bookmarkStart w:id="105" w:name="_Toc150480756"/>
      <w:r/>
      <w:bookmarkStart w:id="106" w:name="_Toc151190145"/>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651"/>
        <w:numPr>
          <w:ilvl w:val="0"/>
          <w:numId w:val="9"/>
        </w:numPr>
        <w:ind w:left="357" w:hanging="357"/>
        <w:pageBreakBefore w:val="0"/>
        <w:spacing w:line="380" w:lineRule="exact"/>
        <w:widowControl w:val="off"/>
        <w:tabs>
          <w:tab w:val="left" w:pos="360" w:leader="none"/>
        </w:tabs>
        <w:rPr>
          <w:sz w:val="24"/>
        </w:rPr>
        <w:outlineLvl w:val="2"/>
      </w:pPr>
      <w:r/>
      <w:bookmarkStart w:id="107" w:name="_Toc305158861"/>
      <w:r/>
      <w:bookmarkStart w:id="108" w:name="_Toc305158787"/>
      <w:r/>
      <w:bookmarkStart w:id="109" w:name="_Toc264969209"/>
      <w:r/>
      <w:bookmarkStart w:id="110" w:name="_Toc265228357"/>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651"/>
        <w:numPr>
          <w:ilvl w:val="0"/>
          <w:numId w:val="9"/>
        </w:numPr>
        <w:ind w:left="357" w:hanging="357"/>
        <w:pageBreakBefore w:val="0"/>
        <w:spacing w:line="380" w:lineRule="exact"/>
        <w:widowControl w:val="off"/>
        <w:tabs>
          <w:tab w:val="left" w:pos="360" w:leader="none"/>
        </w:tabs>
        <w:rPr>
          <w:sz w:val="24"/>
        </w:rPr>
        <w:outlineLvl w:val="2"/>
      </w:pPr>
      <w:r/>
      <w:bookmarkStart w:id="111" w:name="_Toc164351614"/>
      <w:r/>
      <w:bookmarkStart w:id="112" w:name="_Toc151193618"/>
      <w:r/>
      <w:bookmarkStart w:id="113" w:name="_Toc164229361"/>
      <w:r/>
      <w:bookmarkStart w:id="114" w:name="_Toc150774620"/>
      <w:r/>
      <w:bookmarkStart w:id="115" w:name="_Toc164229215"/>
      <w:r/>
      <w:bookmarkStart w:id="116" w:name="_Toc142311022"/>
      <w:r/>
      <w:bookmarkStart w:id="117" w:name="_Toc151193908"/>
      <w:r/>
      <w:bookmarkStart w:id="118" w:name="_Toc150480758"/>
      <w:r/>
      <w:bookmarkStart w:id="119" w:name="_Toc150774725"/>
      <w:r/>
      <w:bookmarkStart w:id="120" w:name="_Toc151193834"/>
      <w:r/>
      <w:bookmarkStart w:id="121" w:name="_Toc226965710"/>
      <w:r/>
      <w:bookmarkStart w:id="122" w:name="_Toc226337216"/>
      <w:r/>
      <w:bookmarkStart w:id="123" w:name="_Toc150509271"/>
      <w:r/>
      <w:bookmarkStart w:id="124" w:name="_Toc265228358"/>
      <w:r/>
      <w:bookmarkStart w:id="125" w:name="_Toc149720813"/>
      <w:r/>
      <w:bookmarkStart w:id="126" w:name="_Toc226965793"/>
      <w:r/>
      <w:bookmarkStart w:id="127" w:name="_Toc151190147"/>
      <w:r/>
      <w:bookmarkStart w:id="128" w:name="_Toc127151721"/>
      <w:r/>
      <w:bookmarkStart w:id="129" w:name="_Toc151193690"/>
      <w:r/>
      <w:bookmarkStart w:id="130" w:name="_Toc151193762"/>
      <w:r/>
      <w:bookmarkStart w:id="131" w:name="_Toc305158862"/>
      <w:r/>
      <w:bookmarkStart w:id="132" w:name="_Toc264969210"/>
      <w:r/>
      <w:bookmarkStart w:id="133" w:name="_Toc164608634"/>
      <w:r/>
      <w:bookmarkStart w:id="134" w:name="_Toc127161434"/>
      <w:r/>
      <w:bookmarkStart w:id="135" w:name="_Toc127151520"/>
      <w:r/>
      <w:bookmarkStart w:id="136" w:name="_Toc226309764"/>
      <w:r/>
      <w:bookmarkStart w:id="137" w:name="_Toc164608789"/>
      <w:r/>
      <w:bookmarkStart w:id="138" w:name="_Toc195842885"/>
      <w:r/>
      <w:bookmarkStart w:id="139" w:name="_Toc305158788"/>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现场考察、开标前答疑会</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3910"/>
      <w:r/>
      <w:bookmarkStart w:id="141" w:name="_Toc150480760"/>
      <w:r/>
      <w:bookmarkStart w:id="142" w:name="_Toc265228360"/>
      <w:r/>
      <w:bookmarkStart w:id="143" w:name="_Toc195842887"/>
      <w:r/>
      <w:bookmarkStart w:id="144" w:name="_Toc226337218"/>
      <w:r/>
      <w:bookmarkStart w:id="145" w:name="_Toc150509273"/>
      <w:r/>
      <w:bookmarkStart w:id="146" w:name="_Toc151193764"/>
      <w:r/>
      <w:bookmarkStart w:id="147" w:name="_Toc151190149"/>
      <w:r/>
      <w:bookmarkStart w:id="148" w:name="_Toc127151522"/>
      <w:r/>
      <w:bookmarkStart w:id="149" w:name="_Toc305158790"/>
      <w:r/>
      <w:bookmarkStart w:id="150" w:name="_Toc226965712"/>
      <w:r/>
      <w:bookmarkStart w:id="151" w:name="_Toc151193836"/>
      <w:r/>
      <w:bookmarkStart w:id="152" w:name="_Toc226965795"/>
      <w:r/>
      <w:bookmarkStart w:id="153" w:name="_Toc150774727"/>
      <w:r/>
      <w:bookmarkStart w:id="154" w:name="_Toc150774622"/>
      <w:r/>
      <w:bookmarkStart w:id="155" w:name="_Toc151193692"/>
      <w:r/>
      <w:bookmarkStart w:id="156" w:name="_Toc151193620"/>
      <w:r/>
      <w:bookmarkStart w:id="157" w:name="_Toc520356146"/>
      <w:r/>
      <w:bookmarkStart w:id="158" w:name="_Toc264969212"/>
      <w:r/>
      <w:bookmarkStart w:id="159" w:name="_Toc142311024"/>
      <w:r/>
      <w:bookmarkStart w:id="160" w:name="_Toc226309766"/>
      <w:r/>
      <w:bookmarkStart w:id="161" w:name="_Toc305158864"/>
      <w:r>
        <w:rPr>
          <w:sz w:val="28"/>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样品</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651"/>
        <w:numPr>
          <w:ilvl w:val="0"/>
          <w:numId w:val="9"/>
        </w:numPr>
        <w:ind w:left="357" w:hanging="357"/>
        <w:pageBreakBefore w:val="0"/>
        <w:spacing w:line="380" w:lineRule="exact"/>
        <w:widowControl w:val="off"/>
        <w:tabs>
          <w:tab w:val="left" w:pos="360" w:leader="none"/>
        </w:tabs>
        <w:rPr>
          <w:sz w:val="24"/>
        </w:rPr>
        <w:outlineLvl w:val="2"/>
      </w:pPr>
      <w:r>
        <w:rPr>
          <w:sz w:val="24"/>
        </w:rPr>
        <w:t xml:space="preserve">政府采购政策（包括但不限于下列具体政策要求）</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651"/>
        <w:numPr>
          <w:ilvl w:val="2"/>
          <w:numId w:val="9"/>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中小企业定义：</w:t>
      </w:r>
      <w:r>
        <w:rPr>
          <w:sz w:val="24"/>
        </w:rPr>
      </w:r>
      <w:r/>
    </w:p>
    <w:p>
      <w:pPr>
        <w:pStyle w:val="752"/>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651"/>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651"/>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651"/>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52"/>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2"/>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651"/>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651"/>
        <w:numPr>
          <w:ilvl w:val="2"/>
          <w:numId w:val="9"/>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651"/>
        <w:numPr>
          <w:ilvl w:val="2"/>
          <w:numId w:val="9"/>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651"/>
        <w:numPr>
          <w:ilvl w:val="2"/>
          <w:numId w:val="9"/>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651"/>
        <w:numPr>
          <w:ilvl w:val="2"/>
          <w:numId w:val="9"/>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651"/>
        <w:ind w:firstLine="120"/>
        <w:pageBreakBefore w:val="0"/>
        <w:spacing w:line="380" w:lineRule="exact"/>
        <w:widowControl w:val="off"/>
        <w:rPr>
          <w:sz w:val="24"/>
        </w:rPr>
      </w:pPr>
      <w:r>
        <w:rPr>
          <w:rFonts w:hint="eastAsia"/>
          <w:sz w:val="24"/>
        </w:rPr>
        <w:t xml:space="preserve"> 5.8     绿色采购政策</w:t>
      </w:r>
      <w:r>
        <w:rPr>
          <w:sz w:val="24"/>
        </w:rPr>
      </w:r>
      <w:r/>
    </w:p>
    <w:p>
      <w:pPr>
        <w:pStyle w:val="651"/>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651"/>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651"/>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651"/>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651"/>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651"/>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651"/>
        <w:pageBreakBefore w:val="0"/>
        <w:spacing w:line="380" w:lineRule="exact"/>
        <w:widowControl w:val="off"/>
        <w:rPr>
          <w:rFonts w:hint="eastAsia" w:ascii="宋体" w:hAnsi="宋体"/>
          <w:b/>
          <w:bCs/>
          <w:sz w:val="24"/>
          <w:lang w:val="en-US" w:eastAsia="zh-CN"/>
        </w:rPr>
      </w:pPr>
      <w:r>
        <w:rPr>
          <w:rFonts w:hint="eastAsia" w:ascii="宋体" w:hAnsi="宋体"/>
          <w:b/>
          <w:bCs/>
          <w:sz w:val="24"/>
          <w:lang w:val="en-US" w:eastAsia="zh-CN"/>
        </w:rPr>
        <w:t xml:space="preserve">5.9      采购本国产品的支持政策</w:t>
      </w:r>
      <w:r>
        <w:rPr>
          <w:rFonts w:hint="eastAsia" w:ascii="宋体" w:hAnsi="宋体"/>
          <w:b/>
          <w:bCs/>
          <w:sz w:val="24"/>
          <w:lang w:val="en-US" w:eastAsia="zh-CN"/>
        </w:rPr>
      </w:r>
      <w:r/>
    </w:p>
    <w:p>
      <w:pPr>
        <w:pStyle w:val="651"/>
        <w:ind w:left="1197" w:firstLine="0"/>
        <w:pageBreakBefore w:val="0"/>
        <w:spacing w:line="380" w:lineRule="exact"/>
        <w:widowControl w:val="off"/>
        <w:rPr>
          <w:rFonts w:ascii="宋体" w:hAnsi="宋体" w:eastAsia="宋体"/>
          <w:sz w:val="24"/>
          <w:lang w:val="en-US" w:eastAsia="zh-CN"/>
        </w:rPr>
      </w:pPr>
      <w:r>
        <w:rPr>
          <w:rFonts w:hint="eastAsia" w:ascii="宋体" w:hAnsi="宋体"/>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eastAsia="宋体"/>
          <w:sz w:val="24"/>
          <w:lang w:val="en-US" w:eastAsia="zh-CN"/>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投标费用</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651"/>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65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163" w:name="_Toc164608637"/>
      <w:r/>
      <w:bookmarkStart w:id="164" w:name="_Toc142311025"/>
      <w:r/>
      <w:bookmarkStart w:id="165" w:name="_Toc150480761"/>
      <w:r/>
      <w:bookmarkStart w:id="166" w:name="_Toc520356147"/>
      <w:r/>
      <w:bookmarkStart w:id="167" w:name="_Toc226965796"/>
      <w:r/>
      <w:bookmarkStart w:id="168" w:name="_Toc151193911"/>
      <w:r/>
      <w:bookmarkStart w:id="169" w:name="_Toc127151724"/>
      <w:r/>
      <w:bookmarkStart w:id="170" w:name="_Toc151193693"/>
      <w:r/>
      <w:bookmarkStart w:id="171" w:name="_Toc151193765"/>
      <w:r/>
      <w:bookmarkStart w:id="172" w:name="_Toc265228361"/>
      <w:r/>
      <w:bookmarkStart w:id="173" w:name="_Toc150509274"/>
      <w:r/>
      <w:bookmarkStart w:id="174" w:name="_Toc226337219"/>
      <w:r/>
      <w:bookmarkStart w:id="175" w:name="_Toc195842888"/>
      <w:r/>
      <w:bookmarkStart w:id="176" w:name="_Toc151193621"/>
      <w:r/>
      <w:bookmarkStart w:id="177" w:name="_Toc127161437"/>
      <w:r/>
      <w:bookmarkStart w:id="178" w:name="_Toc164608792"/>
      <w:r/>
      <w:bookmarkStart w:id="179" w:name="_Toc226965713"/>
      <w:r/>
      <w:bookmarkStart w:id="180" w:name="_Toc149720816"/>
      <w:r/>
      <w:bookmarkStart w:id="181" w:name="_Toc150774728"/>
      <w:r/>
      <w:bookmarkStart w:id="182" w:name="_Toc150774623"/>
      <w:r/>
      <w:bookmarkStart w:id="183" w:name="_Toc164229218"/>
      <w:r/>
      <w:bookmarkStart w:id="184" w:name="_Toc127151523"/>
      <w:r/>
      <w:bookmarkStart w:id="185" w:name="_Toc305158791"/>
      <w:r/>
      <w:bookmarkStart w:id="186" w:name="_Toc226309767"/>
      <w:r/>
      <w:bookmarkStart w:id="187" w:name="_Toc164229364"/>
      <w:r/>
      <w:bookmarkStart w:id="188" w:name="_Toc305158865"/>
      <w:r/>
      <w:bookmarkStart w:id="189" w:name="_Toc264969213"/>
      <w:r/>
      <w:bookmarkStart w:id="190" w:name="_Toc164351617"/>
      <w:r/>
      <w:bookmarkStart w:id="191" w:name="_Toc151190150"/>
      <w:r/>
      <w:bookmarkStart w:id="192" w:name="_Toc151193837"/>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651"/>
        <w:numPr>
          <w:ilvl w:val="0"/>
          <w:numId w:val="11"/>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651"/>
        <w:numPr>
          <w:ilvl w:val="0"/>
          <w:numId w:val="9"/>
        </w:numPr>
        <w:ind w:left="357" w:hanging="357"/>
        <w:pageBreakBefore w:val="0"/>
        <w:spacing w:line="380" w:lineRule="exact"/>
        <w:widowControl w:val="off"/>
        <w:tabs>
          <w:tab w:val="left" w:pos="900" w:leader="none"/>
          <w:tab w:val="left" w:pos="1080" w:leader="none"/>
          <w:tab w:val="left" w:pos="2014" w:leader="none"/>
        </w:tabs>
        <w:rPr>
          <w:sz w:val="24"/>
        </w:rPr>
        <w:outlineLvl w:val="2"/>
      </w:pPr>
      <w:r>
        <w:rPr>
          <w:sz w:val="24"/>
        </w:rPr>
        <w:t xml:space="preserve">对招标文件的澄清或修改</w:t>
      </w:r>
      <w:r>
        <w:rPr>
          <w:sz w:val="24"/>
        </w:rPr>
      </w:r>
      <w:r/>
    </w:p>
    <w:p>
      <w:pPr>
        <w:pStyle w:val="651"/>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651"/>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651"/>
        <w:ind w:left="1080"/>
        <w:pageBreakBefore w:val="0"/>
        <w:spacing w:line="380" w:lineRule="exact"/>
        <w:widowControl w:val="off"/>
        <w:tabs>
          <w:tab w:val="left" w:pos="1080" w:leader="none"/>
          <w:tab w:val="left" w:pos="1561" w:leader="none"/>
        </w:tabs>
        <w:rPr>
          <w:sz w:val="28"/>
        </w:rPr>
      </w:pPr>
      <w:r/>
      <w:bookmarkStart w:id="193" w:name="_Toc151193696"/>
      <w:r/>
      <w:bookmarkStart w:id="194" w:name="_Toc226337222"/>
      <w:r/>
      <w:bookmarkStart w:id="195" w:name="_Toc142311028"/>
      <w:r/>
      <w:bookmarkStart w:id="196" w:name="_Toc127151526"/>
      <w:r/>
      <w:bookmarkStart w:id="197" w:name="_Toc151193840"/>
      <w:r/>
      <w:bookmarkStart w:id="198" w:name="_Toc226965799"/>
      <w:r/>
      <w:bookmarkStart w:id="199" w:name="_Toc151193624"/>
      <w:r/>
      <w:bookmarkStart w:id="200" w:name="_Toc305158868"/>
      <w:r/>
      <w:bookmarkStart w:id="201" w:name="_Toc305158794"/>
      <w:r/>
      <w:bookmarkStart w:id="202" w:name="_Toc264969216"/>
      <w:r/>
      <w:bookmarkStart w:id="203" w:name="_Toc195842891"/>
      <w:r/>
      <w:bookmarkStart w:id="204" w:name="_Toc151193914"/>
      <w:r/>
      <w:bookmarkStart w:id="205" w:name="_Toc520356150"/>
      <w:r/>
      <w:bookmarkStart w:id="206" w:name="_Toc516367020"/>
      <w:r/>
      <w:bookmarkStart w:id="207" w:name="_Toc150509277"/>
      <w:r/>
      <w:bookmarkStart w:id="208" w:name="_Toc150774626"/>
      <w:r/>
      <w:bookmarkStart w:id="209" w:name="_Toc150774731"/>
      <w:r/>
      <w:bookmarkStart w:id="210" w:name="_Toc265228364"/>
      <w:r/>
      <w:bookmarkStart w:id="211" w:name="_Toc150480764"/>
      <w:r/>
      <w:bookmarkStart w:id="212" w:name="_Toc151193768"/>
      <w:r/>
      <w:bookmarkStart w:id="213" w:name="_Toc226309770"/>
      <w:r/>
      <w:bookmarkStart w:id="214" w:name="_Toc151190153"/>
      <w:r/>
      <w:bookmarkStart w:id="215" w:name="_Toc226965716"/>
      <w:r>
        <w:rPr>
          <w:sz w:val="28"/>
        </w:rPr>
      </w:r>
      <w:r/>
    </w:p>
    <w:p>
      <w:pPr>
        <w:pStyle w:val="65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216" w:name="_Toc150480765"/>
      <w:r/>
      <w:bookmarkStart w:id="217" w:name="_Toc265228365"/>
      <w:r/>
      <w:bookmarkStart w:id="218" w:name="_Toc226965800"/>
      <w:r/>
      <w:bookmarkStart w:id="219" w:name="_Toc305158869"/>
      <w:r/>
      <w:bookmarkStart w:id="220" w:name="_Toc151193769"/>
      <w:r/>
      <w:bookmarkStart w:id="221" w:name="_Toc305158795"/>
      <w:r/>
      <w:bookmarkStart w:id="222" w:name="_Toc226965717"/>
      <w:r/>
      <w:bookmarkStart w:id="223" w:name="_Toc264969217"/>
      <w:r/>
      <w:bookmarkStart w:id="224" w:name="_Toc164229368"/>
      <w:r/>
      <w:bookmarkStart w:id="225" w:name="_Toc150774627"/>
      <w:r/>
      <w:bookmarkStart w:id="226" w:name="_Toc151193625"/>
      <w:r/>
      <w:bookmarkStart w:id="227" w:name="_Toc150774732"/>
      <w:r/>
      <w:bookmarkStart w:id="228" w:name="_Toc150509278"/>
      <w:r/>
      <w:bookmarkStart w:id="229" w:name="_Toc226337223"/>
      <w:r/>
      <w:bookmarkStart w:id="230" w:name="_Toc164229222"/>
      <w:r/>
      <w:bookmarkStart w:id="231" w:name="_Toc127151728"/>
      <w:r/>
      <w:bookmarkStart w:id="232" w:name="_Toc516367021"/>
      <w:r/>
      <w:bookmarkStart w:id="233" w:name="_Toc520356151"/>
      <w:r/>
      <w:bookmarkStart w:id="234" w:name="_Toc151190154"/>
      <w:r/>
      <w:bookmarkStart w:id="235" w:name="_Toc151193697"/>
      <w:r/>
      <w:bookmarkStart w:id="236" w:name="_Toc164351621"/>
      <w:r/>
      <w:bookmarkStart w:id="237" w:name="_Toc127151527"/>
      <w:r/>
      <w:bookmarkStart w:id="238" w:name="_Toc151193915"/>
      <w:r/>
      <w:bookmarkStart w:id="239" w:name="_Toc195842892"/>
      <w:r/>
      <w:bookmarkStart w:id="240" w:name="_Toc164608796"/>
      <w:r/>
      <w:bookmarkStart w:id="241" w:name="_Toc226309771"/>
      <w:r/>
      <w:bookmarkStart w:id="242" w:name="_Toc142311029"/>
      <w:r/>
      <w:bookmarkStart w:id="243" w:name="_Toc149720820"/>
      <w:r/>
      <w:bookmarkStart w:id="244" w:name="_Toc164608641"/>
      <w:r/>
      <w:bookmarkStart w:id="245" w:name="_Toc151193841"/>
      <w:r/>
      <w:bookmarkStart w:id="246" w:name="_Toc127161441"/>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247" w:name="_Toc226965801"/>
      <w:r/>
      <w:bookmarkStart w:id="248" w:name="_Toc164351622"/>
      <w:r/>
      <w:bookmarkStart w:id="249" w:name="_Toc127151729"/>
      <w:r/>
      <w:bookmarkStart w:id="250" w:name="_Toc151190155"/>
      <w:r/>
      <w:bookmarkStart w:id="251" w:name="_Toc520356152"/>
      <w:r/>
      <w:bookmarkStart w:id="252" w:name="_Toc164229369"/>
      <w:r/>
      <w:bookmarkStart w:id="253" w:name="_Toc127161442"/>
      <w:r/>
      <w:bookmarkStart w:id="254" w:name="_Toc516367022"/>
      <w:r/>
      <w:bookmarkStart w:id="255" w:name="_Ref467306195"/>
      <w:r/>
      <w:bookmarkStart w:id="256" w:name="_Ref467306676"/>
      <w:r/>
      <w:bookmarkStart w:id="257" w:name="_Toc142311030"/>
      <w:r/>
      <w:bookmarkStart w:id="258" w:name="_Toc150774733"/>
      <w:r/>
      <w:bookmarkStart w:id="259" w:name="_Toc264969218"/>
      <w:r/>
      <w:bookmarkStart w:id="260" w:name="_Toc226309772"/>
      <w:r/>
      <w:bookmarkStart w:id="261" w:name="_Toc127151528"/>
      <w:r/>
      <w:bookmarkStart w:id="262" w:name="_Toc151193770"/>
      <w:r/>
      <w:bookmarkStart w:id="263" w:name="_Toc149720821"/>
      <w:r/>
      <w:bookmarkStart w:id="264" w:name="_Toc151193626"/>
      <w:r/>
      <w:bookmarkStart w:id="265" w:name="_Toc150774628"/>
      <w:r/>
      <w:bookmarkStart w:id="266" w:name="_Toc150480766"/>
      <w:r/>
      <w:bookmarkStart w:id="267" w:name="_Toc226965718"/>
      <w:r/>
      <w:bookmarkStart w:id="268" w:name="_Toc195842893"/>
      <w:r/>
      <w:bookmarkStart w:id="269" w:name="_Toc164229223"/>
      <w:r/>
      <w:bookmarkStart w:id="270" w:name="_Toc150509279"/>
      <w:r/>
      <w:bookmarkStart w:id="271" w:name="_Toc226337224"/>
      <w:r/>
      <w:bookmarkStart w:id="272" w:name="_Toc151193698"/>
      <w:r/>
      <w:bookmarkStart w:id="273" w:name="_Toc305158870"/>
      <w:r/>
      <w:bookmarkStart w:id="274" w:name="_Toc164608797"/>
      <w:r/>
      <w:bookmarkStart w:id="275" w:name="_Toc151193916"/>
      <w:r/>
      <w:bookmarkStart w:id="276" w:name="_Toc151193842"/>
      <w:r/>
      <w:bookmarkStart w:id="277" w:name="_Toc265228366"/>
      <w:r/>
      <w:bookmarkStart w:id="278" w:name="_Toc164608642"/>
      <w:r/>
      <w:bookmarkStart w:id="279" w:name="_Toc305158796"/>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281" w:name="_Toc164229225"/>
      <w:r/>
      <w:bookmarkStart w:id="282" w:name="_Toc164608799"/>
      <w:r/>
      <w:bookmarkStart w:id="283" w:name="_Toc149720823"/>
      <w:r/>
      <w:bookmarkStart w:id="284" w:name="_Toc150774630"/>
      <w:r/>
      <w:bookmarkStart w:id="285" w:name="_Toc151190157"/>
      <w:r/>
      <w:bookmarkStart w:id="286" w:name="_Toc164608644"/>
      <w:r/>
      <w:bookmarkStart w:id="287" w:name="_Toc142311032"/>
      <w:r/>
      <w:bookmarkStart w:id="288" w:name="_Toc151193918"/>
      <w:r/>
      <w:bookmarkStart w:id="289" w:name="_Toc150480768"/>
      <w:r/>
      <w:bookmarkStart w:id="290" w:name="_Toc164229371"/>
      <w:r/>
      <w:bookmarkStart w:id="291" w:name="_Toc151193700"/>
      <w:r/>
      <w:bookmarkStart w:id="292" w:name="_Toc164351624"/>
      <w:r/>
      <w:bookmarkStart w:id="293" w:name="_Toc195842895"/>
      <w:r/>
      <w:bookmarkStart w:id="294" w:name="_Toc127151731"/>
      <w:r/>
      <w:bookmarkStart w:id="295" w:name="_Toc150509281"/>
      <w:r/>
      <w:bookmarkStart w:id="296" w:name="_Toc127151530"/>
      <w:r/>
      <w:bookmarkStart w:id="297" w:name="_Toc520356155"/>
      <w:r/>
      <w:bookmarkStart w:id="298" w:name="_Toc127161444"/>
      <w:r/>
      <w:bookmarkStart w:id="299" w:name="_Toc151193628"/>
      <w:r/>
      <w:bookmarkStart w:id="300" w:name="_Toc151193772"/>
      <w:r/>
      <w:bookmarkStart w:id="301" w:name="_Toc151193844"/>
      <w:r/>
      <w:bookmarkStart w:id="302" w:name="_Toc150774735"/>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651"/>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rFonts w:hint="eastAsia"/>
          <w:sz w:val="24"/>
        </w:rPr>
        <w:outlineLvl w:val="2"/>
      </w:pPr>
      <w:r/>
      <w:bookmarkStart w:id="303" w:name="_Toc164608800"/>
      <w:r/>
      <w:bookmarkStart w:id="304" w:name="_Toc150774631"/>
      <w:r/>
      <w:bookmarkStart w:id="305" w:name="_Toc150480769"/>
      <w:r/>
      <w:bookmarkStart w:id="306" w:name="_Toc151193773"/>
      <w:r/>
      <w:bookmarkStart w:id="307" w:name="_Toc226965804"/>
      <w:r/>
      <w:bookmarkStart w:id="308" w:name="_Toc150774736"/>
      <w:r/>
      <w:bookmarkStart w:id="309" w:name="_Toc151193701"/>
      <w:r/>
      <w:bookmarkStart w:id="310" w:name="_Toc226309775"/>
      <w:r/>
      <w:bookmarkStart w:id="311" w:name="_Toc164229372"/>
      <w:r/>
      <w:bookmarkStart w:id="312" w:name="_Toc142311033"/>
      <w:r/>
      <w:bookmarkStart w:id="313" w:name="_Toc151193629"/>
      <w:r/>
      <w:bookmarkStart w:id="314" w:name="_Toc151190158"/>
      <w:r/>
      <w:bookmarkStart w:id="315" w:name="_Toc226965721"/>
      <w:r/>
      <w:bookmarkStart w:id="316" w:name="_Toc164351625"/>
      <w:r/>
      <w:bookmarkStart w:id="317" w:name="_Toc127151732"/>
      <w:r/>
      <w:bookmarkStart w:id="318" w:name="_Toc226337227"/>
      <w:r/>
      <w:bookmarkStart w:id="319" w:name="_Toc195842896"/>
      <w:r/>
      <w:bookmarkStart w:id="320" w:name="_Toc265228369"/>
      <w:r/>
      <w:bookmarkStart w:id="321" w:name="_Toc520356156"/>
      <w:r/>
      <w:bookmarkStart w:id="322" w:name="_Toc305158873"/>
      <w:r/>
      <w:bookmarkStart w:id="323" w:name="_Toc264969221"/>
      <w:r/>
      <w:bookmarkStart w:id="324" w:name="_Toc150509282"/>
      <w:r/>
      <w:bookmarkStart w:id="325" w:name="_Toc151193845"/>
      <w:r/>
      <w:bookmarkStart w:id="326" w:name="_Toc149720824"/>
      <w:r/>
      <w:bookmarkStart w:id="327" w:name="_Ref467306513"/>
      <w:r/>
      <w:bookmarkStart w:id="328" w:name="_Toc164229226"/>
      <w:r/>
      <w:bookmarkStart w:id="329" w:name="_Toc305158799"/>
      <w:r/>
      <w:bookmarkStart w:id="330" w:name="_Toc164608645"/>
      <w:r/>
      <w:bookmarkStart w:id="331" w:name="_Toc127151531"/>
      <w:r/>
      <w:bookmarkStart w:id="332" w:name="_Toc151193919"/>
      <w:r/>
      <w:bookmarkStart w:id="333" w:name="_Toc127161445"/>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651"/>
        <w:ind w:left="357"/>
        <w:pageBreakBefore w:val="0"/>
        <w:spacing w:line="380" w:lineRule="exact"/>
        <w:widowControl w:val="off"/>
        <w:tabs>
          <w:tab w:val="left" w:pos="360" w:leader="none"/>
        </w:tabs>
        <w:rPr>
          <w:sz w:val="24"/>
        </w:rPr>
        <w:outlineLvl w:val="2"/>
      </w:pPr>
      <w:r>
        <w:rPr>
          <w:rFonts w:hint="eastAsia"/>
          <w:sz w:val="24"/>
        </w:rPr>
        <w:t xml:space="preserve">根据江苏省和常州市的相关文件规定，免收投标保证金。</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334" w:name="_Toc142311034"/>
      <w:r/>
      <w:bookmarkStart w:id="335" w:name="_Toc151193774"/>
      <w:r/>
      <w:bookmarkStart w:id="336" w:name="_Toc226965722"/>
      <w:r/>
      <w:bookmarkStart w:id="337" w:name="_Toc151193846"/>
      <w:r/>
      <w:bookmarkStart w:id="338" w:name="_Toc164229227"/>
      <w:r/>
      <w:bookmarkStart w:id="339" w:name="_Toc164608646"/>
      <w:r/>
      <w:bookmarkStart w:id="340" w:name="_Toc127151532"/>
      <w:r/>
      <w:bookmarkStart w:id="341" w:name="_Toc195842897"/>
      <w:r/>
      <w:bookmarkStart w:id="342" w:name="_Toc305158800"/>
      <w:r/>
      <w:bookmarkStart w:id="343" w:name="_Toc226965805"/>
      <w:r/>
      <w:bookmarkStart w:id="344" w:name="_Toc150509283"/>
      <w:r/>
      <w:bookmarkStart w:id="345" w:name="_Toc150480770"/>
      <w:r/>
      <w:bookmarkStart w:id="346" w:name="_Toc151193630"/>
      <w:r/>
      <w:bookmarkStart w:id="347" w:name="_Toc151190159"/>
      <w:r/>
      <w:bookmarkStart w:id="348" w:name="_Toc164608801"/>
      <w:r/>
      <w:bookmarkStart w:id="349" w:name="_Toc265228370"/>
      <w:r/>
      <w:bookmarkStart w:id="350" w:name="_Toc264969222"/>
      <w:r/>
      <w:bookmarkStart w:id="351" w:name="_Toc520356157"/>
      <w:r/>
      <w:bookmarkStart w:id="352" w:name="_Toc164351626"/>
      <w:r/>
      <w:bookmarkStart w:id="353" w:name="_Toc149720825"/>
      <w:r/>
      <w:bookmarkStart w:id="354" w:name="_Toc151193920"/>
      <w:r/>
      <w:bookmarkStart w:id="355" w:name="_Toc151193702"/>
      <w:r/>
      <w:bookmarkStart w:id="356" w:name="_Toc226309776"/>
      <w:r/>
      <w:bookmarkStart w:id="357" w:name="_Toc127161446"/>
      <w:r/>
      <w:bookmarkStart w:id="358" w:name="_Toc164229373"/>
      <w:r/>
      <w:bookmarkStart w:id="359" w:name="_Toc150774632"/>
      <w:r/>
      <w:bookmarkStart w:id="360" w:name="_Toc150774737"/>
      <w:r/>
      <w:bookmarkStart w:id="361" w:name="_Toc226337228"/>
      <w:r/>
      <w:bookmarkStart w:id="362" w:name="_Toc127151733"/>
      <w:r/>
      <w:bookmarkStart w:id="363" w:name="_Toc305158874"/>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364" w:name="_Toc151193847"/>
      <w:r/>
      <w:bookmarkStart w:id="365" w:name="_Toc164608802"/>
      <w:r/>
      <w:bookmarkStart w:id="366" w:name="_Toc150774738"/>
      <w:r/>
      <w:bookmarkStart w:id="367" w:name="_Toc150480771"/>
      <w:r/>
      <w:bookmarkStart w:id="368" w:name="_Toc195842898"/>
      <w:r/>
      <w:bookmarkStart w:id="369" w:name="_Toc164351627"/>
      <w:r/>
      <w:bookmarkStart w:id="370" w:name="_Toc226309777"/>
      <w:r/>
      <w:bookmarkStart w:id="371" w:name="_Toc127161447"/>
      <w:r/>
      <w:bookmarkStart w:id="372" w:name="_Toc150774633"/>
      <w:r/>
      <w:bookmarkStart w:id="373" w:name="_Toc150509284"/>
      <w:r/>
      <w:bookmarkStart w:id="374" w:name="_Toc305158875"/>
      <w:r/>
      <w:bookmarkStart w:id="375" w:name="_Toc127151734"/>
      <w:r/>
      <w:bookmarkStart w:id="376" w:name="_Toc164229228"/>
      <w:r/>
      <w:bookmarkStart w:id="377" w:name="_Toc151193631"/>
      <w:r/>
      <w:bookmarkStart w:id="378" w:name="_Toc151190160"/>
      <w:r/>
      <w:bookmarkStart w:id="379" w:name="_Toc151193921"/>
      <w:r/>
      <w:bookmarkStart w:id="380" w:name="_Toc164608647"/>
      <w:r/>
      <w:bookmarkStart w:id="381" w:name="_Toc226965723"/>
      <w:r/>
      <w:bookmarkStart w:id="382" w:name="_Toc151193703"/>
      <w:r/>
      <w:bookmarkStart w:id="383" w:name="_Toc127151533"/>
      <w:r/>
      <w:bookmarkStart w:id="384" w:name="_Toc305158801"/>
      <w:r/>
      <w:bookmarkStart w:id="385" w:name="_Toc151193775"/>
      <w:r/>
      <w:bookmarkStart w:id="386" w:name="_Toc149720826"/>
      <w:r/>
      <w:bookmarkStart w:id="387" w:name="_Toc164229374"/>
      <w:r/>
      <w:bookmarkStart w:id="388" w:name="_Toc226965806"/>
      <w:r/>
      <w:bookmarkStart w:id="389" w:name="_Toc226337229"/>
      <w:r/>
      <w:bookmarkStart w:id="390" w:name="_Toc265228371"/>
      <w:r/>
      <w:bookmarkStart w:id="391" w:name="_Toc142311035"/>
      <w:r/>
      <w:bookmarkStart w:id="392" w:name="_Toc520356158"/>
      <w:r/>
      <w:bookmarkStart w:id="393" w:name="_Toc264969223"/>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309778"/>
      <w:r/>
      <w:bookmarkStart w:id="395" w:name="_Toc265228372"/>
      <w:r/>
      <w:bookmarkStart w:id="396" w:name="_Toc151193776"/>
      <w:r/>
      <w:bookmarkStart w:id="397" w:name="_Toc305158876"/>
      <w:r/>
      <w:bookmarkStart w:id="398" w:name="_Toc520356159"/>
      <w:r/>
      <w:bookmarkStart w:id="399" w:name="_Toc151193922"/>
      <w:r/>
      <w:bookmarkStart w:id="400" w:name="_Toc151190161"/>
      <w:r/>
      <w:bookmarkStart w:id="401" w:name="_Toc142311036"/>
      <w:r/>
      <w:bookmarkStart w:id="402" w:name="_Toc226337230"/>
      <w:r/>
      <w:bookmarkStart w:id="403" w:name="_Toc151193632"/>
      <w:r/>
      <w:bookmarkStart w:id="404" w:name="_Toc150774739"/>
      <w:r/>
      <w:bookmarkStart w:id="405" w:name="_Toc195842899"/>
      <w:r/>
      <w:bookmarkStart w:id="406" w:name="_Toc150509285"/>
      <w:r/>
      <w:bookmarkStart w:id="407" w:name="_Toc151193848"/>
      <w:r/>
      <w:bookmarkStart w:id="408" w:name="_Toc127151534"/>
      <w:r/>
      <w:bookmarkStart w:id="409" w:name="_Toc305158802"/>
      <w:r/>
      <w:bookmarkStart w:id="410" w:name="_Toc150774634"/>
      <w:r/>
      <w:bookmarkStart w:id="411" w:name="_Toc226965724"/>
      <w:r/>
      <w:bookmarkStart w:id="412" w:name="_Toc150480772"/>
      <w:r/>
      <w:bookmarkStart w:id="413" w:name="_Toc151193704"/>
      <w:r/>
      <w:bookmarkStart w:id="414" w:name="_Toc264969224"/>
      <w:r/>
      <w:bookmarkStart w:id="415" w:name="_Toc226965807"/>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651"/>
        <w:ind w:left="357"/>
        <w:pageBreakBefore w:val="0"/>
        <w:spacing w:line="380" w:lineRule="exact"/>
        <w:widowControl w:val="off"/>
        <w:tabs>
          <w:tab w:val="left" w:pos="900" w:leader="none"/>
          <w:tab w:val="left" w:pos="1080" w:leader="none"/>
        </w:tabs>
      </w:pPr>
      <w:r/>
      <w:r/>
    </w:p>
    <w:p>
      <w:pPr>
        <w:pStyle w:val="65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416" w:name="_Toc127161449"/>
      <w:r/>
      <w:bookmarkStart w:id="417" w:name="_Toc164351629"/>
      <w:r/>
      <w:bookmarkStart w:id="418" w:name="_Toc226965808"/>
      <w:r/>
      <w:bookmarkStart w:id="419" w:name="_Toc164608649"/>
      <w:r/>
      <w:bookmarkStart w:id="420" w:name="_Toc520356160"/>
      <w:r/>
      <w:bookmarkStart w:id="421" w:name="_Toc226965725"/>
      <w:r/>
      <w:bookmarkStart w:id="422" w:name="_Toc195842900"/>
      <w:r/>
      <w:bookmarkStart w:id="423" w:name="_Toc305158803"/>
      <w:r/>
      <w:bookmarkStart w:id="424" w:name="_Toc264969225"/>
      <w:r/>
      <w:bookmarkStart w:id="425" w:name="_Toc305158877"/>
      <w:r/>
      <w:bookmarkStart w:id="426" w:name="_Toc226309779"/>
      <w:r/>
      <w:bookmarkStart w:id="427" w:name="_Toc150774635"/>
      <w:r/>
      <w:bookmarkStart w:id="428" w:name="_Toc164229230"/>
      <w:r/>
      <w:bookmarkStart w:id="429" w:name="_Toc151193849"/>
      <w:r/>
      <w:bookmarkStart w:id="430" w:name="_Toc150774740"/>
      <w:r/>
      <w:bookmarkStart w:id="431" w:name="_Toc151193705"/>
      <w:r/>
      <w:bookmarkStart w:id="432" w:name="_Toc151193777"/>
      <w:r/>
      <w:bookmarkStart w:id="433" w:name="_Toc150480773"/>
      <w:r/>
      <w:bookmarkStart w:id="434" w:name="_Toc149720828"/>
      <w:r/>
      <w:bookmarkStart w:id="435" w:name="_Toc226337231"/>
      <w:r/>
      <w:bookmarkStart w:id="436" w:name="_Toc164229376"/>
      <w:r/>
      <w:bookmarkStart w:id="437" w:name="_Toc151193923"/>
      <w:r/>
      <w:bookmarkStart w:id="438" w:name="_Toc164608804"/>
      <w:r/>
      <w:bookmarkStart w:id="439" w:name="_Toc151193633"/>
      <w:r/>
      <w:bookmarkStart w:id="440" w:name="_Toc150509286"/>
      <w:r/>
      <w:bookmarkStart w:id="441" w:name="_Toc127151535"/>
      <w:r/>
      <w:bookmarkStart w:id="442" w:name="_Toc142311037"/>
      <w:r/>
      <w:bookmarkStart w:id="443" w:name="_Toc151190162"/>
      <w:r/>
      <w:bookmarkStart w:id="444" w:name="_Toc265228373"/>
      <w:r/>
      <w:bookmarkStart w:id="445" w:name="_Toc127151736"/>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446" w:name="_Toc142311038"/>
      <w:r/>
      <w:bookmarkStart w:id="447" w:name="_Toc164608650"/>
      <w:r/>
      <w:bookmarkStart w:id="448" w:name="_Toc151193706"/>
      <w:r/>
      <w:bookmarkStart w:id="449" w:name="_Toc164351630"/>
      <w:r/>
      <w:bookmarkStart w:id="450" w:name="_Toc305158878"/>
      <w:r/>
      <w:bookmarkStart w:id="451" w:name="_Toc150509287"/>
      <w:r/>
      <w:bookmarkStart w:id="452" w:name="_Toc127151737"/>
      <w:r/>
      <w:bookmarkStart w:id="453" w:name="_Toc150774636"/>
      <w:r/>
      <w:bookmarkStart w:id="454" w:name="_Toc264969226"/>
      <w:r/>
      <w:bookmarkStart w:id="455" w:name="_Toc151193850"/>
      <w:r/>
      <w:bookmarkStart w:id="456" w:name="_Toc195842901"/>
      <w:r/>
      <w:bookmarkStart w:id="457" w:name="_Toc151193634"/>
      <w:r/>
      <w:bookmarkStart w:id="458" w:name="_Toc151193924"/>
      <w:r/>
      <w:bookmarkStart w:id="459" w:name="_Toc151193778"/>
      <w:r/>
      <w:bookmarkStart w:id="460" w:name="_Toc164608805"/>
      <w:r/>
      <w:bookmarkStart w:id="461" w:name="_Toc151190163"/>
      <w:r/>
      <w:bookmarkStart w:id="462" w:name="_Toc164229231"/>
      <w:r/>
      <w:bookmarkStart w:id="463" w:name="_Toc127151536"/>
      <w:r/>
      <w:bookmarkStart w:id="464" w:name="_Toc149720829"/>
      <w:r/>
      <w:bookmarkStart w:id="465" w:name="_Toc226309780"/>
      <w:r/>
      <w:bookmarkStart w:id="466" w:name="_Toc265228374"/>
      <w:r/>
      <w:bookmarkStart w:id="467" w:name="_Toc150480774"/>
      <w:r/>
      <w:bookmarkStart w:id="468" w:name="_Toc164229377"/>
      <w:r/>
      <w:bookmarkStart w:id="469" w:name="_Toc226965809"/>
      <w:r/>
      <w:bookmarkStart w:id="470" w:name="_Toc305158804"/>
      <w:r/>
      <w:bookmarkStart w:id="471" w:name="_Toc127161450"/>
      <w:r/>
      <w:bookmarkStart w:id="472" w:name="_Toc226965726"/>
      <w:r/>
      <w:bookmarkStart w:id="473" w:name="_Toc520356161"/>
      <w:r/>
      <w:bookmarkStart w:id="474" w:name="_Toc150774741"/>
      <w:r/>
      <w:bookmarkStart w:id="475" w:name="_Toc226337232"/>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476" w:name="_Toc151193635"/>
      <w:r/>
      <w:bookmarkStart w:id="477" w:name="_Toc142311039"/>
      <w:r/>
      <w:bookmarkStart w:id="478" w:name="_Toc151193925"/>
      <w:r/>
      <w:bookmarkStart w:id="479" w:name="_Toc226337233"/>
      <w:r/>
      <w:bookmarkStart w:id="480" w:name="_Toc226965727"/>
      <w:r/>
      <w:bookmarkStart w:id="481" w:name="_Toc195842902"/>
      <w:r/>
      <w:bookmarkStart w:id="482" w:name="_Toc164351631"/>
      <w:r/>
      <w:bookmarkStart w:id="483" w:name="_Toc226309781"/>
      <w:r/>
      <w:bookmarkStart w:id="484" w:name="_Toc164608806"/>
      <w:r/>
      <w:bookmarkStart w:id="485" w:name="_Toc151193779"/>
      <w:r/>
      <w:bookmarkStart w:id="486" w:name="_Toc305158805"/>
      <w:r/>
      <w:bookmarkStart w:id="487" w:name="_Toc164229378"/>
      <w:r/>
      <w:bookmarkStart w:id="488" w:name="_Toc226965810"/>
      <w:r/>
      <w:bookmarkStart w:id="489" w:name="_Toc127151537"/>
      <w:r/>
      <w:bookmarkStart w:id="490" w:name="_Toc151190164"/>
      <w:r/>
      <w:bookmarkStart w:id="491" w:name="_Toc127151738"/>
      <w:r/>
      <w:bookmarkStart w:id="492" w:name="_Toc150774637"/>
      <w:r/>
      <w:bookmarkStart w:id="493" w:name="_Toc305158879"/>
      <w:r/>
      <w:bookmarkStart w:id="494" w:name="_Toc149720830"/>
      <w:r/>
      <w:bookmarkStart w:id="495" w:name="_Toc150774742"/>
      <w:r/>
      <w:bookmarkStart w:id="496" w:name="_Toc150480775"/>
      <w:r/>
      <w:bookmarkStart w:id="497" w:name="_Toc151193851"/>
      <w:r/>
      <w:bookmarkStart w:id="498" w:name="_Toc164229232"/>
      <w:r/>
      <w:bookmarkStart w:id="499" w:name="_Toc151193707"/>
      <w:r/>
      <w:bookmarkStart w:id="500" w:name="_Toc150509288"/>
      <w:r/>
      <w:bookmarkStart w:id="501" w:name="_Toc164608651"/>
      <w:r/>
      <w:bookmarkStart w:id="502" w:name="_Toc265228375"/>
      <w:r/>
      <w:bookmarkStart w:id="503" w:name="_Toc127161451"/>
      <w:r/>
      <w:bookmarkStart w:id="504" w:name="_Toc264969227"/>
      <w:r/>
      <w:bookmarkStart w:id="505" w:name="_Toc520356162"/>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651"/>
        <w:pageBreakBefore w:val="0"/>
        <w:spacing w:line="380" w:lineRule="exact"/>
        <w:widowControl w:val="off"/>
        <w:rPr>
          <w:sz w:val="24"/>
        </w:rPr>
      </w:pPr>
      <w:r>
        <w:rPr>
          <w:sz w:val="24"/>
        </w:rPr>
      </w:r>
      <w:r/>
    </w:p>
    <w:p>
      <w:pPr>
        <w:pStyle w:val="653"/>
        <w:pageBreakBefore w:val="0"/>
        <w:spacing w:before="0" w:line="380" w:lineRule="exact"/>
        <w:widowControl w:val="off"/>
        <w:rPr>
          <w:rFonts w:ascii="Times New Roman" w:hAnsi="Times New Roman" w:eastAsia="宋体"/>
          <w:sz w:val="28"/>
        </w:rPr>
      </w:pPr>
      <w:r/>
      <w:bookmarkStart w:id="506" w:name="_Toc305158806"/>
      <w:r/>
      <w:bookmarkStart w:id="507" w:name="_Toc151193926"/>
      <w:r/>
      <w:bookmarkStart w:id="508" w:name="_Toc226965728"/>
      <w:r/>
      <w:bookmarkStart w:id="509" w:name="_Toc151193852"/>
      <w:r/>
      <w:bookmarkStart w:id="510" w:name="_Toc264969228"/>
      <w:r/>
      <w:bookmarkStart w:id="511" w:name="_Toc520356163"/>
      <w:r/>
      <w:bookmarkStart w:id="512" w:name="_Toc226337234"/>
      <w:r/>
      <w:bookmarkStart w:id="513" w:name="_Toc150480776"/>
      <w:r/>
      <w:bookmarkStart w:id="514" w:name="_Toc142311040"/>
      <w:r/>
      <w:bookmarkStart w:id="515" w:name="_Toc265228376"/>
      <w:r/>
      <w:bookmarkStart w:id="516" w:name="_Toc150509289"/>
      <w:r/>
      <w:bookmarkStart w:id="517" w:name="_Toc151190165"/>
      <w:r/>
      <w:bookmarkStart w:id="518" w:name="_Toc151193636"/>
      <w:r/>
      <w:bookmarkStart w:id="519" w:name="_Toc127151538"/>
      <w:r/>
      <w:bookmarkStart w:id="520" w:name="_Toc195842903"/>
      <w:r/>
      <w:bookmarkStart w:id="521" w:name="_Toc151193708"/>
      <w:r/>
      <w:bookmarkStart w:id="522" w:name="_Toc226309782"/>
      <w:r/>
      <w:bookmarkStart w:id="523" w:name="_Toc150774743"/>
      <w:r/>
      <w:bookmarkStart w:id="524" w:name="_Toc305158880"/>
      <w:r/>
      <w:bookmarkStart w:id="525" w:name="_Toc151193780"/>
      <w:r/>
      <w:bookmarkStart w:id="526" w:name="_Toc226965811"/>
      <w:r/>
      <w:bookmarkStart w:id="527" w:name="_Toc150774638"/>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528" w:name="_Toc150774744"/>
      <w:r/>
      <w:bookmarkStart w:id="529" w:name="_Toc151193927"/>
      <w:r/>
      <w:bookmarkStart w:id="530" w:name="_Toc164608653"/>
      <w:r/>
      <w:bookmarkStart w:id="531" w:name="_Toc151193781"/>
      <w:r/>
      <w:bookmarkStart w:id="532" w:name="_Toc164608808"/>
      <w:r/>
      <w:bookmarkStart w:id="533" w:name="_Toc226965812"/>
      <w:r/>
      <w:bookmarkStart w:id="534" w:name="_Toc226337235"/>
      <w:r/>
      <w:bookmarkStart w:id="535" w:name="_Toc150774639"/>
      <w:r/>
      <w:bookmarkStart w:id="536" w:name="_Toc195842904"/>
      <w:r/>
      <w:bookmarkStart w:id="537" w:name="_Toc164229234"/>
      <w:r/>
      <w:bookmarkStart w:id="538" w:name="_Toc151193637"/>
      <w:r/>
      <w:bookmarkStart w:id="539" w:name="_Toc265228377"/>
      <w:r/>
      <w:bookmarkStart w:id="540" w:name="_Toc305158807"/>
      <w:r/>
      <w:bookmarkStart w:id="541" w:name="_Toc164351633"/>
      <w:r/>
      <w:bookmarkStart w:id="542" w:name="_Toc226309783"/>
      <w:r/>
      <w:bookmarkStart w:id="543" w:name="_Toc151193853"/>
      <w:r/>
      <w:bookmarkStart w:id="544" w:name="_Toc264969229"/>
      <w:r/>
      <w:bookmarkStart w:id="545" w:name="_Toc520356164"/>
      <w:r/>
      <w:bookmarkStart w:id="546" w:name="_Toc226965729"/>
      <w:r/>
      <w:bookmarkStart w:id="547" w:name="_Toc127161453"/>
      <w:r/>
      <w:bookmarkStart w:id="548" w:name="_Toc151193709"/>
      <w:r/>
      <w:bookmarkStart w:id="549" w:name="_Toc127151539"/>
      <w:r/>
      <w:bookmarkStart w:id="550" w:name="_Toc149720832"/>
      <w:r/>
      <w:bookmarkStart w:id="551" w:name="_Toc150509290"/>
      <w:r/>
      <w:bookmarkStart w:id="552" w:name="_Toc142311041"/>
      <w:r/>
      <w:bookmarkStart w:id="553" w:name="_Toc151190166"/>
      <w:r/>
      <w:bookmarkStart w:id="554" w:name="_Toc164229380"/>
      <w:r/>
      <w:bookmarkStart w:id="555" w:name="_Toc305158881"/>
      <w:r/>
      <w:bookmarkStart w:id="556" w:name="_Toc150480777"/>
      <w:r/>
      <w:bookmarkStart w:id="557" w:name="_Toc127151740"/>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w:t>
      </w:r>
      <w:r>
        <w:rPr>
          <w:rFonts w:hint="eastAsia"/>
          <w:sz w:val="24"/>
          <w:lang w:val="en-US" w:eastAsia="zh-CN"/>
        </w:rPr>
        <w:t xml:space="preserve">议</w:t>
      </w:r>
      <w:r>
        <w:rPr>
          <w:rFonts w:hint="eastAsia"/>
          <w:sz w:val="24"/>
        </w:rPr>
        <w:t xml:space="preserve">的，系统将视同已确认</w:t>
      </w:r>
      <w:r>
        <w:rPr>
          <w:sz w:val="24"/>
        </w:rPr>
        <w:t xml:space="preserve">。</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651"/>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651"/>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651"/>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651"/>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651"/>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资格审查</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651"/>
        <w:numPr>
          <w:ilvl w:val="0"/>
          <w:numId w:val="9"/>
        </w:numPr>
        <w:ind w:left="357" w:hanging="357"/>
        <w:keepLines w:val="0"/>
        <w:keepNext w:val="0"/>
        <w:pageBreakBefore w:val="0"/>
        <w:spacing w:line="380" w:lineRule="exact"/>
        <w:widowControl w:val="off"/>
        <w:tabs>
          <w:tab w:val="left" w:pos="360" w:leader="none"/>
          <w:tab w:val="left" w:pos="900" w:leader="none"/>
        </w:tabs>
        <w:rPr>
          <w:sz w:val="24"/>
        </w:rPr>
        <w:outlineLvl w:val="9"/>
      </w:pPr>
      <w:r/>
      <w:bookmarkEnd w:id="558"/>
      <w:r/>
      <w:bookmarkStart w:id="559" w:name="_Toc164351634"/>
      <w:r/>
      <w:bookmarkStart w:id="560" w:name="_Toc226337236"/>
      <w:r/>
      <w:bookmarkStart w:id="561" w:name="_Toc151193782"/>
      <w:r/>
      <w:bookmarkStart w:id="562" w:name="_Toc305158808"/>
      <w:r/>
      <w:bookmarkStart w:id="563" w:name="_Toc164229235"/>
      <w:r/>
      <w:bookmarkStart w:id="564" w:name="_Toc150774745"/>
      <w:r/>
      <w:bookmarkStart w:id="565" w:name="_Toc151190167"/>
      <w:r/>
      <w:bookmarkStart w:id="566" w:name="_Toc150480778"/>
      <w:r/>
      <w:bookmarkStart w:id="567" w:name="_Toc164608809"/>
      <w:r/>
      <w:bookmarkStart w:id="568" w:name="_Toc127151741"/>
      <w:r/>
      <w:bookmarkStart w:id="569" w:name="_Toc226965813"/>
      <w:r/>
      <w:bookmarkStart w:id="570" w:name="_Toc151193854"/>
      <w:r/>
      <w:bookmarkStart w:id="571" w:name="_Toc149720833"/>
      <w:r/>
      <w:bookmarkStart w:id="572" w:name="_Toc151193638"/>
      <w:r/>
      <w:bookmarkStart w:id="573" w:name="_Toc142311042"/>
      <w:r/>
      <w:bookmarkStart w:id="574" w:name="_Toc226309784"/>
      <w:r/>
      <w:bookmarkStart w:id="575" w:name="_Toc195842905"/>
      <w:r/>
      <w:bookmarkStart w:id="576" w:name="_Toc226965730"/>
      <w:r/>
      <w:bookmarkStart w:id="577" w:name="_Toc305158882"/>
      <w:r/>
      <w:bookmarkStart w:id="578" w:name="_Toc127151540"/>
      <w:r/>
      <w:bookmarkStart w:id="579" w:name="_Toc151193710"/>
      <w:r/>
      <w:bookmarkStart w:id="580" w:name="_Toc127161454"/>
      <w:r/>
      <w:bookmarkStart w:id="581" w:name="_Toc164608654"/>
      <w:r/>
      <w:bookmarkStart w:id="582" w:name="_Toc151193928"/>
      <w:r/>
      <w:bookmarkStart w:id="583" w:name="_Toc264969230"/>
      <w:r/>
      <w:bookmarkStart w:id="584" w:name="_Toc164229381"/>
      <w:r/>
      <w:bookmarkStart w:id="585" w:name="_Toc150509291"/>
      <w:r/>
      <w:bookmarkStart w:id="586" w:name="_Toc265228378"/>
      <w:r/>
      <w:bookmarkStart w:id="587" w:name="_Toc150774640"/>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651"/>
        <w:numPr>
          <w:ilvl w:val="1"/>
          <w:numId w:val="9"/>
        </w:numPr>
        <w:ind w:left="1077" w:hanging="720"/>
        <w:keepLines w:val="0"/>
        <w:keepNext w:val="0"/>
        <w:pageBreakBefore w:val="0"/>
        <w:spacing w:line="380" w:lineRule="exact"/>
        <w:widowControl w:val="off"/>
        <w:tabs>
          <w:tab w:val="left" w:pos="1080" w:leader="none"/>
          <w:tab w:val="left" w:pos="1589" w:leader="none"/>
          <w:tab w:val="left" w:pos="2014" w:leader="none"/>
        </w:tabs>
        <w:rPr>
          <w:sz w:val="24"/>
        </w:rPr>
        <w:outlineLvl w:val="9"/>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651"/>
        <w:numPr>
          <w:ilvl w:val="1"/>
          <w:numId w:val="9"/>
        </w:numPr>
        <w:ind w:left="1077" w:hanging="720"/>
        <w:keepLines w:val="0"/>
        <w:keepNext w:val="0"/>
        <w:pageBreakBefore w:val="0"/>
        <w:spacing w:line="380" w:lineRule="exact"/>
        <w:widowControl w:val="off"/>
        <w:tabs>
          <w:tab w:val="left" w:pos="1080" w:leader="none"/>
          <w:tab w:val="left" w:pos="1589" w:leader="none"/>
          <w:tab w:val="left" w:pos="2014" w:leader="none"/>
        </w:tabs>
        <w:rPr>
          <w:sz w:val="24"/>
        </w:rPr>
        <w:outlineLvl w:val="9"/>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651"/>
        <w:numPr>
          <w:ilvl w:val="0"/>
          <w:numId w:val="9"/>
        </w:numPr>
        <w:ind w:left="357" w:hanging="357"/>
        <w:keepLines w:val="0"/>
        <w:keepNext w:val="0"/>
        <w:pageBreakBefore w:val="0"/>
        <w:spacing w:line="380" w:lineRule="exact"/>
        <w:widowControl w:val="off"/>
        <w:tabs>
          <w:tab w:val="left" w:pos="360" w:leader="none"/>
          <w:tab w:val="left" w:pos="900" w:leader="none"/>
        </w:tabs>
        <w:rPr>
          <w:sz w:val="24"/>
        </w:rPr>
        <w:outlineLvl w:val="9"/>
      </w:pPr>
      <w:r>
        <w:rPr>
          <w:sz w:val="24"/>
        </w:rPr>
        <w:t xml:space="preserve">评标程序、评标方法和评标标准</w:t>
      </w:r>
      <w:r>
        <w:rPr>
          <w:sz w:val="24"/>
        </w:rPr>
      </w:r>
      <w:r/>
    </w:p>
    <w:p>
      <w:pPr>
        <w:pStyle w:val="651"/>
        <w:numPr>
          <w:ilvl w:val="1"/>
          <w:numId w:val="9"/>
        </w:numPr>
        <w:ind w:left="1077" w:hanging="720"/>
        <w:keepLines w:val="0"/>
        <w:keepNext w:val="0"/>
        <w:pageBreakBefore w:val="0"/>
        <w:spacing w:line="380" w:lineRule="exact"/>
        <w:widowControl w:val="off"/>
        <w:tabs>
          <w:tab w:val="left" w:pos="1080" w:leader="none"/>
          <w:tab w:val="left" w:pos="1589" w:leader="none"/>
          <w:tab w:val="left" w:pos="2014" w:leader="none"/>
        </w:tabs>
        <w:rPr>
          <w:sz w:val="24"/>
        </w:rPr>
        <w:outlineLvl w:val="9"/>
      </w:pPr>
      <w:r>
        <w:rPr>
          <w:sz w:val="24"/>
        </w:rPr>
        <w:t xml:space="preserve">见第四章《评标程序、评标方法和评标标准》。</w:t>
      </w:r>
      <w:r>
        <w:rPr>
          <w:sz w:val="24"/>
        </w:rPr>
      </w:r>
      <w:r/>
    </w:p>
    <w:p>
      <w:pPr>
        <w:pStyle w:val="651"/>
        <w:ind w:left="1080"/>
        <w:keepLines w:val="0"/>
        <w:keepNext w:val="0"/>
        <w:pageBreakBefore w:val="0"/>
        <w:spacing w:line="380" w:lineRule="exact"/>
        <w:widowControl w:val="off"/>
        <w:tabs>
          <w:tab w:val="left" w:pos="360" w:leader="none"/>
          <w:tab w:val="left" w:pos="1080" w:leader="none"/>
        </w:tabs>
        <w:rPr>
          <w:sz w:val="24"/>
        </w:rPr>
        <w:outlineLvl w:val="9"/>
      </w:pPr>
      <w:r>
        <w:rPr>
          <w:sz w:val="24"/>
        </w:rPr>
      </w:r>
      <w:r/>
    </w:p>
    <w:p>
      <w:pPr>
        <w:pStyle w:val="653"/>
        <w:pageBreakBefore w:val="0"/>
        <w:spacing w:before="0" w:line="380" w:lineRule="exact"/>
        <w:widowControl w:val="off"/>
        <w:rPr>
          <w:rFonts w:ascii="Times New Roman" w:hAnsi="Times New Roman" w:eastAsia="宋体"/>
          <w:sz w:val="28"/>
        </w:rPr>
      </w:pPr>
      <w:r/>
      <w:bookmarkStart w:id="590" w:name="_Toc151190172"/>
      <w:r/>
      <w:bookmarkStart w:id="591" w:name="_Toc150774750"/>
      <w:r/>
      <w:bookmarkStart w:id="592" w:name="_Toc150509296"/>
      <w:r/>
      <w:bookmarkStart w:id="593" w:name="_Toc305158813"/>
      <w:r/>
      <w:bookmarkStart w:id="594" w:name="_Toc151193715"/>
      <w:r/>
      <w:bookmarkStart w:id="595" w:name="_Toc226309789"/>
      <w:r/>
      <w:bookmarkStart w:id="596" w:name="_Toc226965735"/>
      <w:r/>
      <w:bookmarkStart w:id="597" w:name="_Toc127151545"/>
      <w:r/>
      <w:bookmarkStart w:id="598" w:name="_Toc150774645"/>
      <w:r/>
      <w:bookmarkStart w:id="599" w:name="_Toc151193787"/>
      <w:r/>
      <w:bookmarkStart w:id="600" w:name="_Toc305158887"/>
      <w:r/>
      <w:bookmarkStart w:id="601" w:name="_Toc195842910"/>
      <w:r/>
      <w:bookmarkStart w:id="602" w:name="_Toc142311047"/>
      <w:r/>
      <w:bookmarkStart w:id="603" w:name="_Toc226965818"/>
      <w:r/>
      <w:bookmarkStart w:id="604" w:name="_Toc150480783"/>
      <w:r/>
      <w:bookmarkStart w:id="605" w:name="_Toc151193933"/>
      <w:r/>
      <w:bookmarkStart w:id="606" w:name="_Toc265228383"/>
      <w:r/>
      <w:bookmarkStart w:id="607" w:name="_Toc151193643"/>
      <w:r/>
      <w:bookmarkStart w:id="608" w:name="_Toc226337241"/>
      <w:r/>
      <w:bookmarkStart w:id="609" w:name="_Toc264969235"/>
      <w:r/>
      <w:bookmarkStart w:id="610" w:name="_Toc151193859"/>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305158815"/>
      <w:r/>
      <w:bookmarkStart w:id="612" w:name="_Toc127151748"/>
      <w:r/>
      <w:bookmarkStart w:id="613" w:name="_Toc150774647"/>
      <w:r/>
      <w:bookmarkStart w:id="614" w:name="_Toc226309791"/>
      <w:r/>
      <w:bookmarkStart w:id="615" w:name="_Toc150509298"/>
      <w:r/>
      <w:bookmarkStart w:id="616" w:name="_Toc164229388"/>
      <w:r/>
      <w:bookmarkStart w:id="617" w:name="_Toc151193861"/>
      <w:r/>
      <w:bookmarkStart w:id="618" w:name="_Toc142311049"/>
      <w:r/>
      <w:bookmarkStart w:id="619" w:name="_Toc151193645"/>
      <w:r/>
      <w:bookmarkStart w:id="620" w:name="_Toc265228385"/>
      <w:r/>
      <w:bookmarkStart w:id="621" w:name="_Toc151193717"/>
      <w:r/>
      <w:bookmarkStart w:id="622" w:name="_Toc151190174"/>
      <w:r/>
      <w:bookmarkStart w:id="623" w:name="_Toc226965820"/>
      <w:r/>
      <w:bookmarkStart w:id="624" w:name="_Toc226337243"/>
      <w:r/>
      <w:bookmarkStart w:id="625" w:name="_Toc127161461"/>
      <w:r/>
      <w:bookmarkStart w:id="626" w:name="_Toc164608661"/>
      <w:r/>
      <w:bookmarkStart w:id="627" w:name="_Toc226965737"/>
      <w:r/>
      <w:bookmarkStart w:id="628" w:name="_Toc151193789"/>
      <w:r/>
      <w:bookmarkStart w:id="629" w:name="_Toc127151547"/>
      <w:r/>
      <w:bookmarkStart w:id="630" w:name="_Toc305158889"/>
      <w:r/>
      <w:bookmarkStart w:id="631" w:name="_Toc149720840"/>
      <w:r/>
      <w:bookmarkStart w:id="632" w:name="_Toc164351641"/>
      <w:r/>
      <w:bookmarkStart w:id="633" w:name="_Toc195842912"/>
      <w:r/>
      <w:bookmarkStart w:id="634" w:name="_Toc151193935"/>
      <w:r/>
      <w:bookmarkStart w:id="635" w:name="_Toc164229242"/>
      <w:r/>
      <w:bookmarkStart w:id="636" w:name="_Toc150480785"/>
      <w:r/>
      <w:bookmarkStart w:id="637" w:name="_Toc164608816"/>
      <w:r/>
      <w:bookmarkStart w:id="638" w:name="_Toc264969237"/>
      <w:r/>
      <w:bookmarkStart w:id="639" w:name="_Toc150774752"/>
      <w:r>
        <w:rPr>
          <w:rFonts w:ascii="Times New Roman" w:hAnsi="Times New Roman" w:eastAsia="宋体"/>
          <w:sz w:val="28"/>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640" w:name="_Toc151193719"/>
      <w:r/>
      <w:bookmarkStart w:id="641" w:name="_Toc149720842"/>
      <w:r/>
      <w:bookmarkStart w:id="642" w:name="_Toc150774754"/>
      <w:r/>
      <w:bookmarkStart w:id="643" w:name="_Toc142311051"/>
      <w:r/>
      <w:bookmarkStart w:id="644" w:name="_Toc127151549"/>
      <w:r/>
      <w:bookmarkStart w:id="645" w:name="_Toc127161463"/>
      <w:r/>
      <w:bookmarkStart w:id="646" w:name="_Toc305158891"/>
      <w:r/>
      <w:bookmarkStart w:id="647" w:name="_Toc150480787"/>
      <w:r/>
      <w:bookmarkStart w:id="648" w:name="_Ref467307090"/>
      <w:r/>
      <w:bookmarkStart w:id="649" w:name="_Toc520356176"/>
      <w:r/>
      <w:bookmarkStart w:id="650" w:name="_Ref467306425"/>
      <w:r/>
      <w:bookmarkStart w:id="651" w:name="_Toc195842914"/>
      <w:r/>
      <w:bookmarkStart w:id="652" w:name="_Toc226309793"/>
      <w:r/>
      <w:bookmarkStart w:id="653" w:name="_Toc164229390"/>
      <w:r/>
      <w:bookmarkStart w:id="654" w:name="_Toc265228387"/>
      <w:r/>
      <w:bookmarkStart w:id="655" w:name="_Toc150509300"/>
      <w:r/>
      <w:bookmarkStart w:id="656" w:name="_Toc151193863"/>
      <w:r/>
      <w:bookmarkStart w:id="657" w:name="_Toc305158817"/>
      <w:r/>
      <w:bookmarkStart w:id="658" w:name="_Toc164608818"/>
      <w:r/>
      <w:bookmarkStart w:id="659" w:name="_Toc151193791"/>
      <w:r/>
      <w:bookmarkStart w:id="660" w:name="_Toc151193647"/>
      <w:r/>
      <w:bookmarkStart w:id="661" w:name="_Toc164608663"/>
      <w:r/>
      <w:bookmarkStart w:id="662" w:name="_Toc264969239"/>
      <w:r/>
      <w:bookmarkStart w:id="663" w:name="_Toc164229244"/>
      <w:r/>
      <w:bookmarkStart w:id="664" w:name="_Toc151193937"/>
      <w:r/>
      <w:bookmarkStart w:id="665" w:name="_Toc127151750"/>
      <w:r/>
      <w:bookmarkStart w:id="666" w:name="_Toc226965822"/>
      <w:r/>
      <w:bookmarkStart w:id="667" w:name="_Toc151190176"/>
      <w:r/>
      <w:bookmarkStart w:id="668" w:name="_Toc226965739"/>
      <w:r/>
      <w:bookmarkStart w:id="669" w:name="_Toc226337245"/>
      <w:r/>
      <w:bookmarkStart w:id="670" w:name="_Toc164351643"/>
      <w:r/>
      <w:bookmarkStart w:id="671" w:name="_Toc150774649"/>
      <w:r>
        <w:rPr>
          <w:sz w:val="24"/>
        </w:rPr>
        <w:t xml:space="preserve">中标公告与中标通知书</w:t>
      </w:r>
      <w:bookmarkEnd w:id="646"/>
      <w:r/>
      <w:bookmarkEnd w:id="657"/>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w:t>
      </w:r>
      <w:r>
        <w:rPr>
          <w:b/>
          <w:bCs/>
          <w:color w:val="000000"/>
          <w:sz w:val="24"/>
        </w:rPr>
        <w:t xml:space="preserve">2个工作日内</w:t>
      </w:r>
      <w:r>
        <w:rPr>
          <w:sz w:val="24"/>
        </w:rPr>
        <w:t xml:space="preserve">，</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b/>
          <w:bCs/>
          <w:sz w:val="24"/>
        </w:rPr>
        <w:t xml:space="preserve">1个工作日</w:t>
      </w:r>
      <w:r>
        <w:rPr>
          <w:sz w:val="24"/>
        </w:rPr>
        <w:t xml:space="preserve">。</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废标</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651"/>
        <w:numPr>
          <w:ilvl w:val="2"/>
          <w:numId w:val="9"/>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651"/>
        <w:numPr>
          <w:ilvl w:val="2"/>
          <w:numId w:val="9"/>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End w:id="640"/>
      <w:r/>
      <w:bookmarkEnd w:id="641"/>
      <w:r/>
      <w:bookmarkEnd w:id="642"/>
      <w:r/>
      <w:bookmarkEnd w:id="643"/>
      <w:r/>
      <w:bookmarkEnd w:id="644"/>
      <w:r/>
      <w:bookmarkEnd w:id="645"/>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0509301"/>
      <w:r/>
      <w:bookmarkStart w:id="673" w:name="_Toc164229391"/>
      <w:r/>
      <w:bookmarkStart w:id="674" w:name="_Toc149720843"/>
      <w:r/>
      <w:bookmarkStart w:id="675" w:name="_Toc151193792"/>
      <w:r/>
      <w:bookmarkStart w:id="676" w:name="_Toc226965823"/>
      <w:r/>
      <w:bookmarkStart w:id="677" w:name="_Toc164351644"/>
      <w:r/>
      <w:bookmarkStart w:id="678" w:name="_Toc226965740"/>
      <w:r/>
      <w:bookmarkStart w:id="679" w:name="_Toc151193864"/>
      <w:r/>
      <w:bookmarkStart w:id="680" w:name="_Toc151193938"/>
      <w:r/>
      <w:bookmarkStart w:id="681" w:name="_Toc226337246"/>
      <w:r/>
      <w:bookmarkStart w:id="682" w:name="_Toc264969240"/>
      <w:r/>
      <w:bookmarkStart w:id="683" w:name="_Toc150774755"/>
      <w:r/>
      <w:bookmarkStart w:id="684" w:name="_Toc164229245"/>
      <w:r/>
      <w:bookmarkStart w:id="685" w:name="_Toc520356175"/>
      <w:r/>
      <w:bookmarkStart w:id="686" w:name="_Toc150480788"/>
      <w:r/>
      <w:bookmarkStart w:id="687" w:name="_Toc127151550"/>
      <w:r/>
      <w:bookmarkStart w:id="688" w:name="_Toc164608819"/>
      <w:r/>
      <w:bookmarkStart w:id="689" w:name="_Toc164608664"/>
      <w:r/>
      <w:bookmarkStart w:id="690" w:name="_Toc151193648"/>
      <w:r/>
      <w:bookmarkStart w:id="691" w:name="_Toc195842915"/>
      <w:r/>
      <w:bookmarkStart w:id="692" w:name="_Toc305158818"/>
      <w:r/>
      <w:bookmarkStart w:id="693" w:name="_Toc151193720"/>
      <w:r/>
      <w:bookmarkStart w:id="694" w:name="_Ref467306978"/>
      <w:r/>
      <w:bookmarkStart w:id="695" w:name="_Toc150774650"/>
      <w:r/>
      <w:bookmarkStart w:id="696" w:name="_Ref467307062"/>
      <w:r/>
      <w:bookmarkStart w:id="697" w:name="_Toc265228388"/>
      <w:r/>
      <w:bookmarkStart w:id="698" w:name="_Ref467306377"/>
      <w:r/>
      <w:bookmarkStart w:id="699" w:name="_Toc226309794"/>
      <w:r/>
      <w:bookmarkStart w:id="700" w:name="_Toc127161464"/>
      <w:r/>
      <w:bookmarkStart w:id="701" w:name="_Ref467307204"/>
      <w:r/>
      <w:bookmarkStart w:id="702" w:name="_Toc142311052"/>
      <w:r/>
      <w:bookmarkStart w:id="703" w:name="_Toc305158892"/>
      <w:r/>
      <w:bookmarkStart w:id="704" w:name="_Toc151190177"/>
      <w:r/>
      <w:bookmarkStart w:id="705" w:name="_Toc127151751"/>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w:t>
      </w:r>
      <w:r>
        <w:rPr>
          <w:b/>
          <w:bCs/>
          <w:sz w:val="24"/>
        </w:rPr>
        <w:t xml:space="preserve">30日内</w:t>
      </w:r>
      <w:r>
        <w:rPr>
          <w:sz w:val="24"/>
        </w:rPr>
        <w:t xml:space="preserve">，按照招标文件和中标人投标文件的规定签订书面合同。所签订的合同不得对招标文件确定的事项和中标人投标文件作实质性修改。</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End w:id="648"/>
      <w:r/>
      <w:bookmarkEnd w:id="649"/>
      <w:r/>
      <w:bookmarkEnd w:id="650"/>
      <w:r>
        <w:rPr>
          <w:sz w:val="24"/>
        </w:rPr>
        <w:t xml:space="preserve">询问与质疑</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651"/>
        <w:numPr>
          <w:ilvl w:val="2"/>
          <w:numId w:val="9"/>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651"/>
        <w:numPr>
          <w:ilvl w:val="2"/>
          <w:numId w:val="9"/>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728"/>
        </w:rPr>
        <w:t xml:space="preserve">http://gk</w:t>
      </w:r>
      <w:bookmarkStart w:id="706" w:name="_Hlt100654014"/>
      <w:r>
        <w:rPr>
          <w:rStyle w:val="728"/>
        </w:rPr>
        <w:t xml:space="preserve">s</w:t>
      </w:r>
      <w:bookmarkEnd w:id="706"/>
      <w:r>
        <w:rPr>
          <w:rStyle w:val="728"/>
        </w:rPr>
        <w:t xml:space="preserve">.m</w:t>
      </w:r>
      <w:bookmarkStart w:id="707" w:name="_Hlt100653994"/>
      <w:r/>
      <w:bookmarkStart w:id="708" w:name="_Hlt100653993"/>
      <w:r>
        <w:rPr>
          <w:rStyle w:val="728"/>
        </w:rPr>
        <w:t xml:space="preserve">o</w:t>
      </w:r>
      <w:bookmarkEnd w:id="707"/>
      <w:r/>
      <w:bookmarkEnd w:id="708"/>
      <w:r>
        <w:rPr>
          <w:rStyle w:val="728"/>
        </w:rPr>
        <w:t xml:space="preserve">f.gov.cn/ztztz/zhengfucaigouguanli/201802/t20180201_2804589.htm</w:t>
      </w:r>
      <w:r>
        <w:fldChar w:fldCharType="end"/>
      </w:r>
      <w:r>
        <w:rPr>
          <w:rFonts w:hint="eastAsia"/>
        </w:rPr>
        <w:t xml:space="preserve">）</w:t>
      </w:r>
      <w:r>
        <w:rPr>
          <w:sz w:val="24"/>
        </w:rPr>
      </w:r>
      <w:r/>
    </w:p>
    <w:p>
      <w:pPr>
        <w:pStyle w:val="651"/>
        <w:numPr>
          <w:ilvl w:val="2"/>
          <w:numId w:val="9"/>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651"/>
        <w:numPr>
          <w:ilvl w:val="2"/>
          <w:numId w:val="9"/>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651"/>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代理费</w:t>
      </w:r>
      <w:r>
        <w:rPr>
          <w:sz w:val="24"/>
        </w:rPr>
      </w:r>
      <w:r/>
    </w:p>
    <w:p>
      <w:pPr>
        <w:pStyle w:val="651"/>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651"/>
        <w:ind w:left="360"/>
        <w:spacing w:line="360" w:lineRule="auto"/>
        <w:tabs>
          <w:tab w:val="left" w:pos="360" w:leader="none"/>
          <w:tab w:val="left" w:pos="1080" w:leader="none"/>
        </w:tabs>
        <w:rPr>
          <w:sz w:val="24"/>
        </w:rPr>
      </w:pPr>
      <w:r>
        <w:rPr>
          <w:sz w:val="24"/>
        </w:rPr>
      </w:r>
      <w:r/>
    </w:p>
    <w:p>
      <w:pPr>
        <w:pStyle w:val="651"/>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1"/>
      </w:pPr>
      <w:r/>
      <w:bookmarkStart w:id="709" w:name="_Toc99301421"/>
      <w:r/>
      <w:bookmarkStart w:id="710" w:name="_Toc265228392"/>
      <w:r/>
      <w:bookmarkStart w:id="711" w:name="_Toc142311056"/>
      <w:r/>
      <w:bookmarkStart w:id="712" w:name="_Toc353825544"/>
      <w:r/>
      <w:bookmarkStart w:id="713" w:name="_Toc226337250"/>
      <w:r/>
      <w:bookmarkStart w:id="714" w:name="_Toc150480792"/>
      <w:r/>
      <w:bookmarkStart w:id="715" w:name="_Toc305158896"/>
      <w:r/>
      <w:bookmarkStart w:id="716" w:name="_Toc264969244"/>
      <w:r/>
      <w:bookmarkStart w:id="717" w:name="_Toc150774759"/>
      <w:r/>
      <w:bookmarkStart w:id="718" w:name="_Toc305158822"/>
      <w:r/>
      <w:bookmarkStart w:id="719" w:name="_Toc353873934"/>
      <w:r/>
      <w:bookmarkStart w:id="720" w:name="_Toc127151554"/>
      <w:r/>
      <w:bookmarkStart w:id="721" w:name="_Toc353873664"/>
      <w:r/>
      <w:bookmarkStart w:id="722" w:name="_Toc226965827"/>
      <w:r>
        <w:rPr>
          <w:b/>
          <w:sz w:val="36"/>
          <w:szCs w:val="36"/>
        </w:rPr>
      </w:r>
      <w:r/>
    </w:p>
    <w:p>
      <w:pPr>
        <w:pStyle w:val="651"/>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ascii="Times New Roman" w:hAnsi="Times New Roman" w:eastAsia="宋体" w:cs="Times New Roman"/>
          <w:b/>
          <w:sz w:val="36"/>
          <w:szCs w:val="36"/>
        </w:rPr>
        <w:t xml:space="preserve">资格审查</w:t>
      </w:r>
      <w:bookmarkEnd w:id="709"/>
      <w:r/>
      <w:bookmarkStart w:id="723" w:name="_Toc487900382"/>
      <w:r>
        <w:rPr>
          <w:b/>
          <w:sz w:val="36"/>
          <w:szCs w:val="36"/>
        </w:rPr>
      </w:r>
      <w:r/>
    </w:p>
    <w:p>
      <w:pPr>
        <w:pStyle w:val="651"/>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65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2"/>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65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2"/>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65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2"/>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651"/>
        <w:numPr>
          <w:ilvl w:val="0"/>
          <w:numId w:val="0"/>
        </w:numPr>
        <w:ind w:left="0"/>
        <w:keepLines w:val="0"/>
        <w:keepNext w:val="0"/>
        <w:pageBreakBefore w:val="0"/>
        <w:spacing w:line="400" w:lineRule="exact"/>
        <w:widowControl w:val="off"/>
        <w:tabs>
          <w:tab w:val="left" w:pos="426" w:leader="none"/>
          <w:tab w:val="left" w:pos="851" w:leader="none"/>
        </w:tabs>
        <w:rPr>
          <w:b/>
          <w:sz w:val="24"/>
        </w:rPr>
        <w:outlineLvl w:val="2"/>
      </w:pPr>
      <w:r>
        <w:rPr>
          <w:rFonts w:hint="eastAsia"/>
          <w:sz w:val="24"/>
          <w:lang w:val="en-US" w:eastAsia="zh-CN"/>
        </w:rPr>
        <w:t xml:space="preserve">3、</w:t>
      </w:r>
      <w:r>
        <w:rPr>
          <w:sz w:val="24"/>
        </w:rPr>
        <w:t xml:space="preserve">资格审查合格的投标人不足3家的，不进行评标。</w:t>
      </w:r>
      <w:r>
        <w:rPr>
          <w:b/>
          <w:sz w:val="24"/>
        </w:rPr>
      </w:r>
      <w:r/>
    </w:p>
    <w:p>
      <w:pPr>
        <w:pStyle w:val="651"/>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651"/>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651"/>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rFonts w:eastAsia="宋体"/>
                <w:sz w:val="24"/>
                <w:szCs w:val="24"/>
                <w:lang w:val="en-US" w:eastAsia="zh-CN"/>
              </w:rPr>
            </w:pPr>
            <w:r>
              <w:rPr>
                <w:rFonts w:hint="eastAsia"/>
                <w:sz w:val="24"/>
                <w:szCs w:val="24"/>
                <w:lang w:val="en-US" w:eastAsia="zh-CN"/>
              </w:rPr>
              <w:t xml:space="preserve">2-1</w:t>
            </w:r>
            <w:r>
              <w:rPr>
                <w:rFonts w:eastAsia="宋体"/>
                <w:sz w:val="24"/>
                <w:szCs w:val="24"/>
                <w:lang w:val="en-US" w:eastAsia="zh-CN"/>
              </w:rPr>
            </w:r>
            <w:r/>
          </w:p>
        </w:tc>
        <w:tc>
          <w:tcPr>
            <w:tcW w:w="2452" w:type="dxa"/>
            <w:vAlign w:val="center"/>
            <w:textDirection w:val="lrTb"/>
            <w:noWrap w:val="false"/>
          </w:tcPr>
          <w:p>
            <w:pPr>
              <w:pStyle w:val="651"/>
              <w:tabs>
                <w:tab w:val="left" w:pos="1080" w:leader="none"/>
              </w:tabs>
              <w:rPr>
                <w:sz w:val="24"/>
                <w:szCs w:val="24"/>
              </w:rPr>
            </w:pPr>
            <w:r>
              <w:rPr>
                <w:sz w:val="24"/>
              </w:rPr>
              <w:t xml:space="preserve">中小企业声明函</w:t>
            </w:r>
            <w:r>
              <w:rPr>
                <w:sz w:val="24"/>
                <w:szCs w:val="24"/>
              </w:rPr>
            </w:r>
            <w:r/>
          </w:p>
        </w:tc>
        <w:tc>
          <w:tcPr>
            <w:tcW w:w="4919" w:type="dxa"/>
            <w:vAlign w:val="center"/>
            <w:textDirection w:val="lrTb"/>
            <w:noWrap w:val="false"/>
          </w:tcPr>
          <w:p>
            <w:pPr>
              <w:pStyle w:val="651"/>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651"/>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651"/>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651"/>
              <w:tabs>
                <w:tab w:val="left" w:pos="1080" w:leader="none"/>
              </w:tabs>
              <w:rPr>
                <w:sz w:val="24"/>
                <w:szCs w:val="24"/>
              </w:rPr>
            </w:pPr>
            <w:r>
              <w:rPr>
                <w:rFonts w:hint="eastAsia"/>
                <w:sz w:val="24"/>
              </w:rPr>
              <w:t xml:space="preserve">注2：</w:t>
            </w:r>
            <w:r>
              <w:rPr>
                <w:sz w:val="24"/>
              </w:rPr>
              <w:t xml:space="preserve">残疾人福利性单位须按招标文件要求提供《残疾人福利性单位声明函》。</w:t>
            </w:r>
            <w:r>
              <w:rPr>
                <w:sz w:val="24"/>
                <w:szCs w:val="24"/>
              </w:rPr>
            </w:r>
            <w:r/>
          </w:p>
        </w:tc>
        <w:tc>
          <w:tcPr>
            <w:tcW w:w="1865" w:type="dxa"/>
            <w:vAlign w:val="center"/>
            <w:textDirection w:val="lrTb"/>
            <w:noWrap w:val="false"/>
          </w:tcPr>
          <w:p>
            <w:pPr>
              <w:pStyle w:val="651"/>
              <w:tabs>
                <w:tab w:val="left" w:pos="1080" w:leader="none"/>
              </w:tabs>
              <w:rPr>
                <w:sz w:val="24"/>
                <w:szCs w:val="24"/>
              </w:rPr>
            </w:pPr>
            <w:r>
              <w:rPr>
                <w:sz w:val="24"/>
              </w:rPr>
              <w:t xml:space="preserve">格式见《投标文件格式》</w:t>
            </w:r>
            <w:r>
              <w:rPr>
                <w:sz w:val="24"/>
                <w:szCs w:val="24"/>
              </w:rPr>
            </w:r>
            <w:r/>
          </w:p>
        </w:tc>
      </w:tr>
      <w:tr>
        <w:trPr>
          <w:trHeight w:val="845"/>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65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651"/>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651"/>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353873940"/>
      <w:r/>
      <w:bookmarkStart w:id="728" w:name="_Toc353825550"/>
      <w:r/>
      <w:bookmarkStart w:id="729" w:name="_Toc127151779"/>
      <w:r/>
      <w:bookmarkStart w:id="730" w:name="_Toc226965858"/>
      <w:r/>
      <w:bookmarkStart w:id="731" w:name="_Toc99301423"/>
      <w:r>
        <w:rPr>
          <w:b/>
          <w:sz w:val="36"/>
          <w:szCs w:val="36"/>
        </w:rPr>
      </w:r>
      <w:r/>
    </w:p>
    <w:p>
      <w:pPr>
        <w:pStyle w:val="651"/>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第四章   </w:t>
      </w:r>
      <w:bookmarkEnd w:id="726"/>
      <w:r/>
      <w:bookmarkEnd w:id="727"/>
      <w:r/>
      <w:bookmarkEnd w:id="728"/>
      <w:r/>
      <w:bookmarkEnd w:id="729"/>
      <w:r/>
      <w:bookmarkEnd w:id="730"/>
      <w:r/>
      <w:bookmarkStart w:id="732" w:name="_Hlt164229061"/>
      <w:r/>
      <w:bookmarkEnd w:id="732"/>
      <w:r>
        <w:rPr>
          <w:rFonts w:ascii="Times New Roman" w:hAnsi="Times New Roman" w:eastAsia="宋体" w:cs="Times New Roman"/>
          <w:b/>
          <w:sz w:val="36"/>
          <w:szCs w:val="36"/>
        </w:rPr>
        <w:t xml:space="preserve">评标程序、评标方法和评标标准</w:t>
      </w:r>
      <w:bookmarkEnd w:id="731"/>
      <w:r>
        <w:rPr>
          <w:b/>
          <w:sz w:val="36"/>
          <w:szCs w:val="36"/>
        </w:rPr>
      </w:r>
      <w:r/>
    </w:p>
    <w:p>
      <w:pPr>
        <w:pStyle w:val="651"/>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651"/>
        <w:numPr>
          <w:ilvl w:val="0"/>
          <w:numId w:val="12"/>
        </w:numPr>
        <w:keepLines w:val="0"/>
        <w:keepNext w:val="0"/>
        <w:pageBreakBefore w:val="0"/>
        <w:spacing w:line="360" w:lineRule="exact"/>
        <w:widowControl w:val="off"/>
        <w:tabs>
          <w:tab w:val="left" w:pos="360" w:leader="none"/>
          <w:tab w:val="left" w:pos="900" w:leader="none"/>
        </w:tabs>
        <w:rPr>
          <w:sz w:val="24"/>
        </w:rPr>
        <w:outlineLvl w:val="2"/>
      </w:pPr>
      <w:r/>
      <w:bookmarkStart w:id="733" w:name="_Toc150774641"/>
      <w:r/>
      <w:bookmarkStart w:id="734" w:name="_Toc150509292"/>
      <w:r/>
      <w:bookmarkStart w:id="735" w:name="_Toc164229236"/>
      <w:r/>
      <w:bookmarkStart w:id="736" w:name="_Toc305158809"/>
      <w:r/>
      <w:bookmarkStart w:id="737" w:name="_Toc264969231"/>
      <w:r/>
      <w:bookmarkStart w:id="738" w:name="_Toc164608655"/>
      <w:r/>
      <w:bookmarkStart w:id="739" w:name="_Toc226337237"/>
      <w:r/>
      <w:bookmarkStart w:id="740" w:name="_Toc265228379"/>
      <w:r/>
      <w:bookmarkStart w:id="741" w:name="_Toc151193783"/>
      <w:r/>
      <w:bookmarkStart w:id="742" w:name="_Toc226309785"/>
      <w:r/>
      <w:bookmarkStart w:id="743" w:name="_Toc151193929"/>
      <w:r/>
      <w:bookmarkStart w:id="744" w:name="_Toc151190168"/>
      <w:r/>
      <w:bookmarkStart w:id="745" w:name="_Toc150774746"/>
      <w:r/>
      <w:bookmarkStart w:id="746" w:name="_Toc127151742"/>
      <w:r/>
      <w:bookmarkStart w:id="747" w:name="_Toc305158883"/>
      <w:r/>
      <w:bookmarkStart w:id="748" w:name="_Toc151193639"/>
      <w:r/>
      <w:bookmarkStart w:id="749" w:name="_Toc226965731"/>
      <w:r/>
      <w:bookmarkStart w:id="750" w:name="_Toc164608810"/>
      <w:r/>
      <w:bookmarkStart w:id="751" w:name="_Toc127161455"/>
      <w:r/>
      <w:bookmarkStart w:id="752" w:name="_Toc150480779"/>
      <w:r/>
      <w:bookmarkStart w:id="753" w:name="_Toc127151541"/>
      <w:r/>
      <w:bookmarkStart w:id="754" w:name="_Toc151193855"/>
      <w:r/>
      <w:bookmarkStart w:id="755" w:name="_Toc149720834"/>
      <w:r/>
      <w:bookmarkStart w:id="756" w:name="_Toc226965814"/>
      <w:r/>
      <w:bookmarkStart w:id="757" w:name="_Toc164351635"/>
      <w:r/>
      <w:bookmarkStart w:id="758" w:name="_Toc195842906"/>
      <w:r/>
      <w:bookmarkStart w:id="759" w:name="_Toc151193711"/>
      <w:r/>
      <w:bookmarkStart w:id="760" w:name="_Toc164229382"/>
      <w:r/>
      <w:bookmarkStart w:id="761" w:name="_Toc142311043"/>
      <w:r/>
      <w:bookmarkStart w:id="762" w:name="_Toc353825551"/>
      <w:r/>
      <w:bookmarkStart w:id="763" w:name="_Toc353873941"/>
      <w:r/>
      <w:bookmarkStart w:id="764" w:name="_Toc353825545"/>
      <w:r/>
      <w:bookmarkStart w:id="765" w:name="_Toc305158823"/>
      <w:r/>
      <w:bookmarkStart w:id="766" w:name="_Toc353873935"/>
      <w:r/>
      <w:bookmarkStart w:id="767" w:name="_Toc142311057"/>
      <w:r/>
      <w:bookmarkStart w:id="768" w:name="_Toc305158897"/>
      <w:r/>
      <w:bookmarkStart w:id="769" w:name="_Toc264969245"/>
      <w:r/>
      <w:bookmarkStart w:id="770" w:name="_Toc127151555"/>
      <w:r/>
      <w:bookmarkStart w:id="771" w:name="_Toc226965828"/>
      <w:r/>
      <w:bookmarkStart w:id="772" w:name="_Toc353873665"/>
      <w:r/>
      <w:bookmarkStart w:id="773" w:name="_Toc265228393"/>
      <w:r/>
      <w:bookmarkStart w:id="774" w:name="_Toc226337251"/>
      <w:r/>
      <w:bookmarkStart w:id="775" w:name="_Toc150480793"/>
      <w:r/>
      <w:bookmarkStart w:id="776" w:name="_Toc150774760"/>
      <w:r/>
      <w:bookmarkStart w:id="777" w:name="_Toc195842920"/>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651"/>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651"/>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651"/>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651"/>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651"/>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651"/>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651"/>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651"/>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651"/>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651"/>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651"/>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651"/>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651"/>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51"/>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651"/>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51"/>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651"/>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651"/>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651"/>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651"/>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651"/>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651"/>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651"/>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分包意向协议</w:t>
            </w:r>
            <w:r>
              <w:rPr>
                <w:color w:val="000000"/>
                <w:sz w:val="24"/>
              </w:rPr>
            </w:r>
            <w:r/>
          </w:p>
          <w:p>
            <w:pPr>
              <w:pStyle w:val="651"/>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651"/>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65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651"/>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651"/>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651"/>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651"/>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651"/>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651"/>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651"/>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651"/>
        <w:numPr>
          <w:ilvl w:val="0"/>
          <w:numId w:val="13"/>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651"/>
        <w:numPr>
          <w:ilvl w:val="0"/>
          <w:numId w:val="12"/>
        </w:numPr>
        <w:keepLines w:val="0"/>
        <w:keepNext w:val="0"/>
        <w:pageBreakBefore w:val="0"/>
        <w:spacing w:line="400" w:lineRule="exact"/>
        <w:widowControl w:val="off"/>
        <w:tabs>
          <w:tab w:val="left" w:pos="360" w:leader="none"/>
          <w:tab w:val="left" w:pos="900" w:leader="none"/>
        </w:tabs>
        <w:rPr>
          <w:sz w:val="24"/>
        </w:rPr>
        <w:outlineLvl w:val="2"/>
      </w:pPr>
      <w:r>
        <w:rPr>
          <w:sz w:val="24"/>
        </w:rPr>
        <w:t xml:space="preserve">投标文件有关事项的澄清或者说明</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651"/>
        <w:numPr>
          <w:ilvl w:val="1"/>
          <w:numId w:val="12"/>
        </w:numPr>
        <w:ind w:left="1077" w:hanging="720"/>
        <w:jc w:val="both"/>
        <w:keepLines w:val="0"/>
        <w:keepNext w:val="0"/>
        <w:pageBreakBefore w:val="0"/>
        <w:spacing w:line="400" w:lineRule="exact"/>
        <w:widowControl w:val="off"/>
        <w:tabs>
          <w:tab w:val="left" w:pos="1080" w:leader="none"/>
          <w:tab w:val="left" w:pos="1589" w:leader="none"/>
        </w:tabs>
        <w:rPr>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b/>
          <w:bCs/>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sz w:val="24"/>
          <w:u w:val="single"/>
          <w:lang w:val="en-US" w:eastAsia="zh-CN"/>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4"/>
          <w:u w:val="single"/>
          <w:lang w:val="en-US" w:eastAsia="zh-CN"/>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651"/>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651"/>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651"/>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651"/>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651"/>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651"/>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651"/>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落实政府采购政策的价格调整：</w:t>
      </w:r>
      <w:r>
        <w:rPr>
          <w:b/>
          <w:bCs/>
          <w:sz w:val="24"/>
        </w:rPr>
        <w:t xml:space="preserve">只有符合第二章《投标人须知</w:t>
      </w:r>
      <w:r>
        <w:rPr>
          <w:rFonts w:hint="eastAsia"/>
          <w:b/>
          <w:bCs/>
          <w:sz w:val="24"/>
          <w:lang w:eastAsia="zh-CN"/>
        </w:rPr>
        <w:t xml:space="preserve">》第</w:t>
      </w:r>
      <w:r>
        <w:rPr>
          <w:b/>
          <w:bCs/>
          <w:sz w:val="24"/>
        </w:rPr>
        <w:t xml:space="preserve">5.2条规定情形的，可以享受中小企业扶持政策，用扣除后的价格参加评审；否则，评标时价格不予扣除。</w:t>
      </w:r>
      <w:r>
        <w:rPr>
          <w:b/>
          <w:bCs/>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bCs w:val="0"/>
          <w:sz w:val="24"/>
          <w:highlight w:val="none"/>
        </w:rPr>
        <w:t xml:space="preserve">小微企业的报价</w:t>
      </w:r>
      <w:r>
        <w:rPr>
          <w:b/>
          <w:bCs/>
          <w:sz w:val="24"/>
        </w:rPr>
        <w:t xml:space="preserve">扣除</w:t>
      </w:r>
      <w:r>
        <w:rPr>
          <w:rFonts w:hint="eastAsia"/>
          <w:b/>
          <w:bCs w:val="0"/>
          <w:sz w:val="24"/>
          <w:highlight w:val="none"/>
          <w:lang w:eastAsia="zh-CN"/>
        </w:rPr>
        <w:t xml:space="preserve">（</w:t>
      </w:r>
      <w:r>
        <w:rPr>
          <w:rFonts w:hint="eastAsia"/>
          <w:b/>
          <w:bCs w:val="0"/>
          <w:sz w:val="24"/>
          <w:highlight w:val="none"/>
          <w:lang w:val="en-US" w:eastAsia="zh-CN"/>
        </w:rPr>
        <w:t xml:space="preserve">扣除比例详见前附表</w:t>
      </w:r>
      <w:r>
        <w:rPr>
          <w:rFonts w:hint="eastAsia"/>
          <w:b/>
          <w:bCs w:val="0"/>
          <w:sz w:val="24"/>
          <w:highlight w:val="none"/>
          <w:lang w:eastAsia="zh-CN"/>
        </w:rPr>
        <w:t xml:space="preserve">）</w:t>
      </w:r>
      <w:r>
        <w:rPr>
          <w:sz w:val="24"/>
        </w:rPr>
        <w:t xml:space="preserve">，用扣除后的价格参加评审。</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rFonts w:eastAsia="宋体"/>
          <w:sz w:val="24"/>
          <w:lang w:val="en-US" w:eastAsia="zh-CN"/>
        </w:rPr>
      </w:pPr>
      <w:r>
        <w:rPr>
          <w:sz w:val="24"/>
        </w:rPr>
        <w:t xml:space="preserve">若投标人同时属于小型或微型企业、监狱企业、残疾人福利性单位中的两种及以上，将不重复享受小微企业价格扣减的优惠政策。</w:t>
      </w:r>
      <w:r>
        <w:rPr>
          <w:rFonts w:eastAsia="宋体"/>
          <w:sz w:val="24"/>
          <w:lang w:val="en-US" w:eastAsia="zh-CN"/>
        </w:rPr>
      </w:r>
      <w:r/>
    </w:p>
    <w:p>
      <w:pPr>
        <w:pStyle w:val="651"/>
        <w:numPr>
          <w:ilvl w:val="0"/>
          <w:numId w:val="0"/>
        </w:numPr>
        <w:ind w:firstLine="241"/>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65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1.</w:t>
      </w:r>
      <w:r>
        <w:rPr>
          <w:rFonts w:hint="eastAsia" w:ascii="宋体" w:hAnsi="宋体" w:eastAsia="宋体" w:cs="Times New Roman"/>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color w:val="000000"/>
          <w:sz w:val="24"/>
          <w:highlight w:val="none"/>
          <w:u w:val="single"/>
        </w:rPr>
        <w:t xml:space="preserve">的价格扣除，用扣除后的价格参与评审。</w:t>
      </w:r>
      <w:r>
        <w:rPr>
          <w:rFonts w:hint="eastAsia" w:ascii="宋体" w:hAnsi="宋体" w:eastAsia="宋体" w:cs="Times New Roman"/>
          <w:color w:val="000000"/>
          <w:sz w:val="24"/>
          <w:highlight w:val="none"/>
          <w:u w:val="single"/>
        </w:rPr>
      </w:r>
      <w:r/>
    </w:p>
    <w:p>
      <w:pPr>
        <w:pStyle w:val="65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2.</w:t>
      </w:r>
      <w:r>
        <w:rPr>
          <w:rFonts w:hint="eastAsia" w:ascii="宋体" w:hAnsi="宋体" w:eastAsia="宋体" w:cs="Times New Roman"/>
          <w:color w:val="000000"/>
          <w:sz w:val="24"/>
          <w:highlight w:val="none"/>
          <w:u w:val="single"/>
        </w:rPr>
        <w:t xml:space="preserve">当采购项目或者采购包中含有多种产品，</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为该采购项目或者采购包提供的符合本国产品标准的产品成本之和占该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提供的全部产品成本之和的比例达到80%以上时（</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需在“第七章 投标文件格式”的“</w:t>
      </w:r>
      <w:r>
        <w:rPr>
          <w:rFonts w:hint="eastAsia" w:ascii="宋体" w:hAnsi="宋体" w:eastAsia="宋体" w:cs="Times New Roman"/>
          <w:color w:val="000000"/>
          <w:sz w:val="24"/>
          <w:highlight w:val="none"/>
          <w:u w:val="single"/>
          <w:lang w:val="en-US" w:eastAsia="zh-CN"/>
        </w:rPr>
        <w:t xml:space="preserve">6.</w:t>
      </w:r>
      <w:r>
        <w:rPr>
          <w:rFonts w:hint="eastAsia" w:ascii="宋体" w:hAnsi="宋体" w:eastAsia="宋体" w:cs="Times New Roman"/>
          <w:color w:val="000000"/>
          <w:sz w:val="24"/>
          <w:highlight w:val="none"/>
          <w:u w:val="single"/>
        </w:rPr>
        <w:t xml:space="preserve">投标分项报价表”中填写比例数值），依法对该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提供的全部产品给予价格评审优惠，即对该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提供的全部产品的总报价给予20%的价格扣除，用扣除后的价格参与评审。</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未填写比例数值，或比例数值未达到80%的，将不享受本国产品价格评审优惠。</w:t>
      </w:r>
      <w:r>
        <w:rPr>
          <w:rFonts w:hint="eastAsia" w:ascii="宋体" w:hAnsi="宋体" w:eastAsia="宋体" w:cs="Times New Roman"/>
          <w:color w:val="000000"/>
          <w:sz w:val="24"/>
          <w:highlight w:val="none"/>
          <w:u w:val="single"/>
          <w:lang w:val="en-US" w:eastAsia="zh-CN"/>
        </w:rPr>
        <w:t xml:space="preserve">3.</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00"/>
          <w:sz w:val="24"/>
          <w:highlight w:val="none"/>
          <w:u w:val="single"/>
        </w:rPr>
      </w:r>
      <w:r/>
    </w:p>
    <w:p>
      <w:pPr>
        <w:pStyle w:val="65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4.</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4"/>
          <w:highlight w:val="none"/>
          <w:u w:val="single"/>
        </w:rPr>
      </w:r>
      <w:r/>
    </w:p>
    <w:p>
      <w:pPr>
        <w:pStyle w:val="65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color w:val="000000"/>
          <w:sz w:val="24"/>
          <w:u w:val="single"/>
          <w:lang w:val="en-US" w:eastAsia="zh-CN"/>
        </w:rPr>
      </w:pPr>
      <w:r>
        <w:rPr>
          <w:rFonts w:hint="eastAsia" w:ascii="宋体" w:hAnsi="宋体" w:eastAsia="宋体" w:cs="Times New Roman"/>
          <w:color w:val="000000"/>
          <w:sz w:val="24"/>
          <w:highlight w:val="none"/>
          <w:u w:val="single"/>
          <w:lang w:val="en-US" w:eastAsia="zh-CN"/>
        </w:rPr>
        <w:t xml:space="preserve">5.</w:t>
      </w:r>
      <w:r>
        <w:rPr>
          <w:rFonts w:hint="eastAsia" w:ascii="宋体" w:hAnsi="宋体" w:eastAsia="宋体" w:cs="Times New Roman"/>
          <w:color w:val="000000"/>
          <w:sz w:val="24"/>
          <w:highlight w:val="none"/>
          <w:u w:val="single"/>
        </w:rPr>
        <w:t xml:space="preserve">评标过程中，如发现</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提供的相关产品视为不符合本国产品标准</w:t>
      </w:r>
      <w:r>
        <w:rPr>
          <w:rFonts w:eastAsia="宋体"/>
          <w:color w:val="000000"/>
          <w:sz w:val="24"/>
          <w:u w:val="single"/>
          <w:lang w:val="en-US" w:eastAsia="zh-CN"/>
        </w:rPr>
      </w:r>
      <w:r/>
    </w:p>
    <w:p>
      <w:pPr>
        <w:pStyle w:val="651"/>
        <w:numPr>
          <w:ilvl w:val="0"/>
          <w:numId w:val="12"/>
        </w:numPr>
        <w:keepLines w:val="0"/>
        <w:keepNext w:val="0"/>
        <w:pageBreakBefore w:val="0"/>
        <w:spacing w:line="400" w:lineRule="exact"/>
        <w:widowControl w:val="off"/>
        <w:tabs>
          <w:tab w:val="left" w:pos="360" w:leader="none"/>
          <w:tab w:val="left" w:pos="900" w:leader="none"/>
        </w:tabs>
        <w:rPr>
          <w:sz w:val="24"/>
        </w:rPr>
        <w:outlineLvl w:val="2"/>
      </w:pPr>
      <w:r>
        <w:rPr>
          <w:sz w:val="24"/>
        </w:rPr>
        <w:t xml:space="preserve">投标文件的比较和评价</w:t>
      </w:r>
      <w:bookmarkEnd w:id="762"/>
      <w:r/>
      <w:bookmarkEnd w:id="763"/>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651"/>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651"/>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651"/>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651"/>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51"/>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51"/>
        <w:numPr>
          <w:ilvl w:val="0"/>
          <w:numId w:val="12"/>
        </w:numPr>
        <w:keepLines w:val="0"/>
        <w:keepNext w:val="0"/>
        <w:pageBreakBefore w:val="0"/>
        <w:spacing w:line="400" w:lineRule="exact"/>
        <w:widowControl w:val="off"/>
        <w:tabs>
          <w:tab w:val="left" w:pos="360" w:leader="none"/>
          <w:tab w:val="left" w:pos="900" w:leader="none"/>
        </w:tabs>
        <w:rPr>
          <w:sz w:val="24"/>
        </w:rPr>
        <w:outlineLvl w:val="2"/>
      </w:pPr>
      <w:r>
        <w:rPr>
          <w:sz w:val="24"/>
        </w:rPr>
        <w:t xml:space="preserve">确定</w:t>
      </w:r>
      <w:bookmarkStart w:id="779" w:name="_Toc151193644"/>
      <w:r/>
      <w:bookmarkStart w:id="780" w:name="_Toc520356170"/>
      <w:r/>
      <w:bookmarkStart w:id="781" w:name="_Toc149720839"/>
      <w:r/>
      <w:bookmarkStart w:id="782" w:name="_Toc226965819"/>
      <w:r/>
      <w:bookmarkStart w:id="783" w:name="_Toc164351640"/>
      <w:r/>
      <w:bookmarkStart w:id="784" w:name="_Toc151190173"/>
      <w:r/>
      <w:bookmarkStart w:id="785" w:name="_Toc226309790"/>
      <w:r/>
      <w:bookmarkStart w:id="786" w:name="_Toc150509297"/>
      <w:r/>
      <w:bookmarkStart w:id="787" w:name="_Ref467307010"/>
      <w:r/>
      <w:bookmarkStart w:id="788" w:name="_Toc127151546"/>
      <w:r/>
      <w:bookmarkStart w:id="789" w:name="_Toc164229241"/>
      <w:r/>
      <w:bookmarkStart w:id="790" w:name="_Toc164608660"/>
      <w:r/>
      <w:bookmarkStart w:id="791" w:name="_Toc142311048"/>
      <w:r/>
      <w:bookmarkStart w:id="792" w:name="_Toc195842911"/>
      <w:r/>
      <w:bookmarkStart w:id="793" w:name="_Toc164229387"/>
      <w:r/>
      <w:bookmarkStart w:id="794" w:name="_Toc305158888"/>
      <w:r/>
      <w:bookmarkStart w:id="795" w:name="_Toc127151747"/>
      <w:r/>
      <w:bookmarkStart w:id="796" w:name="_Toc150774751"/>
      <w:r/>
      <w:bookmarkStart w:id="797" w:name="_Toc264969236"/>
      <w:r/>
      <w:bookmarkStart w:id="798" w:name="_Toc150774646"/>
      <w:r/>
      <w:bookmarkStart w:id="799" w:name="_Toc164608815"/>
      <w:r/>
      <w:bookmarkStart w:id="800" w:name="_Toc151193788"/>
      <w:r/>
      <w:bookmarkStart w:id="801" w:name="_Toc127161460"/>
      <w:r/>
      <w:bookmarkStart w:id="802" w:name="_Toc150480784"/>
      <w:r/>
      <w:bookmarkStart w:id="803" w:name="_Toc305158814"/>
      <w:r/>
      <w:bookmarkStart w:id="804" w:name="_Toc151193934"/>
      <w:r/>
      <w:bookmarkStart w:id="805" w:name="_Toc151193716"/>
      <w:r/>
      <w:bookmarkStart w:id="806" w:name="_Toc151193860"/>
      <w:r/>
      <w:bookmarkStart w:id="807" w:name="_Toc265228384"/>
      <w:r/>
      <w:bookmarkStart w:id="808" w:name="_Toc226337242"/>
      <w:r/>
      <w:bookmarkStart w:id="809" w:name="_Toc226965736"/>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69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69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651"/>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651"/>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651"/>
        <w:numPr>
          <w:ilvl w:val="1"/>
          <w:numId w:val="12"/>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eastAsia="宋体" w:cs="Times New Roman"/>
          <w:sz w:val="24"/>
        </w:rPr>
      </w:r>
      <w:r/>
    </w:p>
    <w:p>
      <w:pPr>
        <w:pStyle w:val="651"/>
        <w:jc w:val="center"/>
        <w:spacing w:line="360" w:lineRule="auto"/>
        <w:tabs>
          <w:tab w:val="left" w:pos="360" w:leader="none"/>
          <w:tab w:val="left" w:pos="900" w:leader="none"/>
        </w:tabs>
        <w:rPr>
          <w:color w:val="0000ff"/>
          <w:sz w:val="24"/>
        </w:rPr>
        <w:outlineLvl w:val="1"/>
      </w:pPr>
      <w:r>
        <w:rPr>
          <w:b/>
          <w:color w:val="000000"/>
          <w:sz w:val="24"/>
        </w:rPr>
        <w:t xml:space="preserve">二、评标标准</w:t>
      </w:r>
      <w:r>
        <w:rPr>
          <w:color w:val="0000ff"/>
          <w:sz w:val="24"/>
        </w:rPr>
      </w:r>
      <w:r/>
    </w:p>
    <w:tbl>
      <w:tblPr>
        <w:tblW w:w="10561" w:type="dxa"/>
        <w:jc w:val="center"/>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51"/>
        <w:gridCol w:w="1154"/>
        <w:gridCol w:w="780"/>
        <w:gridCol w:w="7112"/>
        <w:gridCol w:w="764"/>
      </w:tblGrid>
      <w:tr>
        <w:trPr>
          <w:trHeight w:val="615"/>
        </w:trPr>
        <w:tc>
          <w:tcPr>
            <w:tcW w:w="751" w:type="dxa"/>
            <w:vAlign w:val="center"/>
            <w:textDirection w:val="lrTb"/>
            <w:noWrap w:val="false"/>
          </w:tcPr>
          <w:p>
            <w:pPr>
              <w:pStyle w:val="651"/>
              <w:ind w:left="0" w:right="0" w:firstLine="28"/>
              <w:jc w:val="center"/>
              <w:keepLines w:val="0"/>
              <w:keepNext w:val="0"/>
              <w:pageBreakBefore w:val="0"/>
              <w:spacing w:line="40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4" w:type="dxa"/>
            <w:vAlign w:val="center"/>
            <w:textDirection w:val="lrTb"/>
            <w:noWrap w:val="false"/>
          </w:tcPr>
          <w:p>
            <w:pPr>
              <w:pStyle w:val="651"/>
              <w:ind w:left="0" w:right="0" w:firstLine="28"/>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651"/>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2" w:type="dxa"/>
            <w:vAlign w:val="center"/>
            <w:textDirection w:val="lrTb"/>
            <w:noWrap w:val="false"/>
          </w:tcPr>
          <w:p>
            <w:pPr>
              <w:pStyle w:val="651"/>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4" w:type="dxa"/>
            <w:vAlign w:val="center"/>
            <w:textDirection w:val="lrTb"/>
            <w:noWrap w:val="false"/>
          </w:tcPr>
          <w:p>
            <w:pPr>
              <w:pStyle w:val="900"/>
              <w:ind w:left="0" w:right="0"/>
              <w:keepLines w:val="0"/>
              <w:keepNext w:val="0"/>
              <w:pageBreakBefore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154"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651"/>
              <w:ind w:left="0"/>
              <w:jc w:val="center"/>
              <w:keepLines w:val="0"/>
              <w:keepNext w:val="0"/>
              <w:pageBreakBefore w:val="0"/>
              <w:spacing w:line="400" w:lineRule="exact"/>
              <w:widowControl/>
              <w:rPr>
                <w:rFonts w:ascii="宋体" w:hAnsi="宋体" w:eastAsia="宋体" w:cs="宋体"/>
                <w:sz w:val="24"/>
                <w:szCs w:val="24"/>
                <w:lang w:val="en-US" w:eastAsia="zh-CN"/>
              </w:rPr>
            </w:pPr>
            <w:r>
              <w:rPr>
                <w:rStyle w:val="911"/>
                <w:rFonts w:hint="eastAsia" w:ascii="宋体" w:hAnsi="宋体" w:eastAsia="宋体" w:cs="宋体"/>
                <w:sz w:val="24"/>
                <w:szCs w:val="24"/>
                <w:highlight w:val="none"/>
                <w:lang w:val="en-US" w:eastAsia="zh-CN"/>
              </w:rPr>
              <w:t xml:space="preserve">20</w:t>
            </w:r>
            <w:r>
              <w:rPr>
                <w:rFonts w:ascii="宋体" w:hAnsi="宋体" w:eastAsia="宋体" w:cs="宋体"/>
                <w:sz w:val="24"/>
                <w:szCs w:val="24"/>
                <w:lang w:val="en-US" w:eastAsia="zh-CN"/>
              </w:rPr>
            </w:r>
            <w:r/>
          </w:p>
        </w:tc>
        <w:tc>
          <w:tcPr>
            <w:tcW w:w="7112" w:type="dxa"/>
            <w:vAlign w:val="center"/>
            <w:textDirection w:val="lrTb"/>
            <w:noWrap w:val="false"/>
          </w:tcPr>
          <w:p>
            <w:pPr>
              <w:pStyle w:val="651"/>
              <w:ind w:left="0"/>
              <w:keepLines w:val="0"/>
              <w:keepNext w:val="0"/>
              <w:pageBreakBefore w:val="0"/>
              <w:spacing w:line="400" w:lineRule="exact"/>
              <w:widowControl/>
              <w:rPr>
                <w:rStyle w:val="911"/>
                <w:rFonts w:hint="eastAsia" w:ascii="宋体" w:hAnsi="宋体" w:eastAsia="宋体" w:cs="宋体"/>
                <w:sz w:val="24"/>
                <w:szCs w:val="24"/>
                <w:highlight w:val="none"/>
              </w:rPr>
            </w:pPr>
            <w:r>
              <w:rPr>
                <w:rStyle w:val="911"/>
                <w:rFonts w:hint="eastAsia" w:ascii="宋体" w:hAnsi="宋体" w:eastAsia="宋体" w:cs="宋体"/>
                <w:sz w:val="24"/>
                <w:szCs w:val="24"/>
                <w:highlight w:val="none"/>
              </w:rPr>
              <w:t xml:space="preserve">采用低价优先法计算，即满足</w:t>
            </w:r>
            <w:r>
              <w:rPr>
                <w:rStyle w:val="911"/>
                <w:rFonts w:hint="eastAsia" w:ascii="宋体" w:hAnsi="宋体" w:eastAsia="宋体" w:cs="宋体"/>
                <w:sz w:val="24"/>
                <w:szCs w:val="24"/>
                <w:highlight w:val="none"/>
                <w:lang w:eastAsia="zh-CN"/>
              </w:rPr>
              <w:t xml:space="preserve">招标文件</w:t>
            </w:r>
            <w:r>
              <w:rPr>
                <w:rStyle w:val="911"/>
                <w:rFonts w:hint="eastAsia" w:ascii="宋体" w:hAnsi="宋体" w:eastAsia="宋体" w:cs="宋体"/>
                <w:sz w:val="24"/>
                <w:szCs w:val="24"/>
                <w:highlight w:val="none"/>
              </w:rPr>
              <w:t xml:space="preserve">要求且投标最</w:t>
            </w:r>
            <w:r>
              <w:rPr>
                <w:rStyle w:val="911"/>
                <w:rFonts w:hint="eastAsia" w:ascii="宋体" w:hAnsi="宋体" w:eastAsia="宋体" w:cs="宋体"/>
                <w:sz w:val="24"/>
                <w:szCs w:val="24"/>
                <w:highlight w:val="none"/>
                <w:lang w:val="en-US" w:eastAsia="zh-CN"/>
              </w:rPr>
              <w:t xml:space="preserve">低</w:t>
            </w:r>
            <w:r>
              <w:rPr>
                <w:rStyle w:val="911"/>
                <w:rFonts w:hint="eastAsia" w:ascii="宋体" w:hAnsi="宋体" w:eastAsia="宋体" w:cs="宋体"/>
                <w:sz w:val="24"/>
                <w:szCs w:val="24"/>
                <w:highlight w:val="none"/>
              </w:rPr>
              <w:t xml:space="preserve">的投标</w:t>
            </w:r>
            <w:r>
              <w:rPr>
                <w:rStyle w:val="911"/>
                <w:rFonts w:hint="eastAsia" w:ascii="宋体" w:hAnsi="宋体" w:eastAsia="宋体" w:cs="宋体"/>
                <w:sz w:val="24"/>
                <w:szCs w:val="24"/>
                <w:highlight w:val="none"/>
                <w:lang w:val="en-US" w:eastAsia="zh-CN"/>
              </w:rPr>
              <w:t xml:space="preserve">报价</w:t>
            </w:r>
            <w:r>
              <w:rPr>
                <w:rStyle w:val="911"/>
                <w:rFonts w:hint="eastAsia" w:ascii="宋体" w:hAnsi="宋体" w:eastAsia="宋体" w:cs="宋体"/>
                <w:sz w:val="24"/>
                <w:szCs w:val="24"/>
                <w:highlight w:val="none"/>
              </w:rPr>
              <w:t xml:space="preserve">为评标基准</w:t>
            </w:r>
            <w:r>
              <w:rPr>
                <w:rStyle w:val="911"/>
                <w:rFonts w:hint="eastAsia" w:ascii="宋体" w:hAnsi="宋体" w:eastAsia="宋体" w:cs="宋体"/>
                <w:sz w:val="24"/>
                <w:szCs w:val="24"/>
                <w:highlight w:val="none"/>
                <w:lang w:val="en-US" w:eastAsia="zh-CN"/>
              </w:rPr>
              <w:t xml:space="preserve">价</w:t>
            </w:r>
            <w:r>
              <w:rPr>
                <w:rStyle w:val="911"/>
                <w:rFonts w:hint="eastAsia" w:ascii="宋体" w:hAnsi="宋体" w:eastAsia="宋体" w:cs="宋体"/>
                <w:sz w:val="24"/>
                <w:szCs w:val="24"/>
                <w:highlight w:val="none"/>
              </w:rPr>
              <w:t xml:space="preserve">，其价格得分为满分。</w:t>
            </w:r>
            <w:r>
              <w:rPr>
                <w:rStyle w:val="911"/>
                <w:rFonts w:hint="eastAsia" w:ascii="宋体" w:hAnsi="宋体" w:eastAsia="宋体" w:cs="宋体"/>
                <w:sz w:val="24"/>
                <w:szCs w:val="24"/>
                <w:highlight w:val="none"/>
              </w:rPr>
            </w:r>
            <w:r/>
          </w:p>
          <w:p>
            <w:pPr>
              <w:pStyle w:val="651"/>
              <w:ind w:left="0"/>
              <w:keepLines w:val="0"/>
              <w:keepNext w:val="0"/>
              <w:pageBreakBefore w:val="0"/>
              <w:spacing w:line="400" w:lineRule="exact"/>
              <w:widowControl/>
              <w:rPr>
                <w:rStyle w:val="911"/>
                <w:rFonts w:hint="eastAsia" w:ascii="宋体" w:hAnsi="宋体" w:eastAsia="宋体" w:cs="宋体"/>
                <w:sz w:val="24"/>
                <w:szCs w:val="24"/>
                <w:highlight w:val="none"/>
                <w:lang w:val="en-US" w:eastAsia="zh-CN"/>
              </w:rPr>
            </w:pPr>
            <w:r>
              <w:rPr>
                <w:rStyle w:val="911"/>
                <w:rFonts w:hint="eastAsia" w:ascii="宋体" w:hAnsi="宋体" w:eastAsia="宋体" w:cs="宋体"/>
                <w:sz w:val="24"/>
                <w:szCs w:val="24"/>
                <w:highlight w:val="none"/>
                <w:lang w:val="en-US" w:eastAsia="zh-CN"/>
              </w:rPr>
              <w:t xml:space="preserve">投标报价得分＝（评标基准价/投标报价）×分值。</w:t>
            </w:r>
            <w:r>
              <w:rPr>
                <w:rStyle w:val="911"/>
                <w:rFonts w:hint="eastAsia" w:ascii="宋体" w:hAnsi="宋体" w:eastAsia="宋体" w:cs="宋体"/>
                <w:sz w:val="24"/>
                <w:szCs w:val="24"/>
                <w:highlight w:val="none"/>
                <w:lang w:val="en-US" w:eastAsia="zh-CN"/>
              </w:rPr>
            </w:r>
            <w:r/>
          </w:p>
          <w:p>
            <w:pPr>
              <w:pStyle w:val="651"/>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注：此处最终报价指经过报价修正及因落实政府采购政策进行价格调整后的最终报价。</w:t>
            </w:r>
            <w:r>
              <w:rPr>
                <w:rFonts w:hint="eastAsia" w:ascii="宋体" w:hAnsi="宋体" w:eastAsia="宋体" w:cs="宋体"/>
                <w:color w:val="000000"/>
                <w:sz w:val="24"/>
                <w:szCs w:val="24"/>
                <w:highlight w:val="none"/>
                <w:lang w:val="en-US" w:eastAsia="zh-CN"/>
              </w:rPr>
            </w:r>
            <w:r/>
          </w:p>
        </w:tc>
        <w:tc>
          <w:tcPr>
            <w:tcW w:w="764" w:type="dxa"/>
            <w:vAlign w:val="center"/>
            <w:textDirection w:val="lrTb"/>
            <w:noWrap w:val="false"/>
          </w:tcPr>
          <w:p>
            <w:pPr>
              <w:pStyle w:val="651"/>
              <w:ind w:left="0"/>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4"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651"/>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rPr>
                <w:rFonts w:ascii="宋体" w:hAnsi="宋体" w:eastAsia="宋体" w:cs="宋体"/>
                <w:sz w:val="24"/>
                <w:szCs w:val="24"/>
                <w:lang w:val="en-US" w:eastAsia="zh-CN"/>
              </w:rPr>
            </w:r>
            <w:r/>
          </w:p>
        </w:tc>
        <w:tc>
          <w:tcPr>
            <w:tcW w:w="7112"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整体服务方案</w:t>
            </w:r>
            <w:r>
              <w:rPr>
                <w:rFonts w:hint="eastAsia" w:ascii="宋体" w:hAnsi="宋体" w:eastAsia="宋体" w:cs="宋体"/>
                <w:b/>
                <w:bCs/>
                <w:sz w:val="24"/>
                <w:szCs w:val="24"/>
                <w:lang w:val="en-US" w:eastAsia="zh-CN"/>
              </w:rPr>
            </w:r>
            <w:r/>
          </w:p>
        </w:tc>
        <w:tc>
          <w:tcPr>
            <w:shd w:val="clear" w:color="auto" w:fill="ffffff"/>
            <w:tcW w:w="780" w:type="dxa"/>
            <w:vAlign w:val="center"/>
            <w:textDirection w:val="lrTb"/>
            <w:noWrap w:val="false"/>
          </w:tcPr>
          <w:p>
            <w:pPr>
              <w:pStyle w:val="651"/>
              <w:ind w:left="0" w:right="0"/>
              <w:jc w:val="center"/>
              <w:keepLines w:val="0"/>
              <w:keepNext w:val="0"/>
              <w:pageBreakBefore w:val="0"/>
              <w:spacing w:line="400" w:lineRule="exact"/>
              <w:rPr>
                <w:rFonts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10</w:t>
            </w:r>
            <w:r>
              <w:rPr>
                <w:rFonts w:ascii="宋体" w:hAnsi="宋体" w:eastAsia="宋体" w:cs="宋体"/>
                <w:b/>
                <w:bCs/>
                <w:sz w:val="24"/>
                <w:szCs w:val="24"/>
                <w:lang w:val="en-US" w:eastAsia="zh-CN"/>
              </w:rPr>
            </w:r>
            <w:r/>
          </w:p>
        </w:tc>
        <w:tc>
          <w:tcPr>
            <w:shd w:val="clear" w:color="auto" w:fill="ffffff"/>
            <w:tcW w:w="7112" w:type="dxa"/>
            <w:vAlign w:val="center"/>
            <w:textDirection w:val="lrTb"/>
            <w:noWrap w:val="false"/>
          </w:tcPr>
          <w:p>
            <w:pPr>
              <w:pStyle w:val="91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651"/>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投标人针对本次</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提供整体服务方案，</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91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1"/>
                <w:lang w:eastAsia="zh-CN"/>
              </w:rPr>
            </w:pPr>
            <w:r>
              <w:rPr>
                <w:rFonts w:hint="eastAsia" w:ascii="宋体" w:hAnsi="宋体" w:eastAsia="宋体" w:cs="宋体"/>
                <w:bCs/>
                <w:sz w:val="24"/>
                <w:szCs w:val="24"/>
                <w:lang w:val="en-US" w:eastAsia="zh-CN"/>
              </w:rPr>
              <w:t xml:space="preserve">1.项目管理方案；</w:t>
            </w:r>
            <w:r>
              <w:rPr>
                <w:rFonts w:hint="eastAsia" w:ascii="宋体" w:hAnsi="宋体" w:eastAsia="宋体" w:cs="宋体"/>
                <w:color w:val="000000"/>
                <w:sz w:val="24"/>
                <w:szCs w:val="21"/>
                <w:lang w:eastAsia="zh-CN"/>
              </w:rPr>
            </w:r>
            <w:r/>
          </w:p>
          <w:p>
            <w:pPr>
              <w:pStyle w:val="651"/>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1"/>
                <w:lang w:val="en-US" w:eastAsia="zh-CN"/>
              </w:rPr>
              <w:t xml:space="preserve">2.服务方案设计</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51"/>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3.服务详细内容；</w:t>
            </w:r>
            <w:r>
              <w:rPr>
                <w:rFonts w:hint="eastAsia" w:ascii="宋体" w:hAnsi="宋体" w:eastAsia="宋体" w:cs="宋体"/>
                <w:bCs/>
                <w:sz w:val="24"/>
                <w:szCs w:val="24"/>
                <w:lang w:val="en-US" w:eastAsia="zh-CN" w:bidi="ar-SA"/>
              </w:rPr>
            </w:r>
            <w:r/>
          </w:p>
          <w:p>
            <w:pPr>
              <w:pStyle w:val="651"/>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4.服务</w:t>
            </w:r>
            <w:r>
              <w:rPr>
                <w:rFonts w:hint="eastAsia" w:ascii="宋体" w:hAnsi="宋体" w:eastAsia="宋体" w:cs="宋体"/>
                <w:bCs/>
                <w:sz w:val="24"/>
                <w:szCs w:val="24"/>
                <w:lang w:val="en-US" w:eastAsia="zh-CN" w:bidi="ar-SA"/>
              </w:rPr>
              <w:t xml:space="preserve">进度保障及</w:t>
            </w:r>
            <w:r>
              <w:rPr>
                <w:rFonts w:hint="eastAsia" w:ascii="宋体" w:hAnsi="宋体" w:eastAsia="宋体" w:cs="宋体"/>
                <w:bCs/>
                <w:sz w:val="24"/>
                <w:szCs w:val="24"/>
                <w:lang w:val="en-US" w:eastAsia="zh-CN" w:bidi="ar-SA"/>
              </w:rPr>
              <w:t xml:space="preserve">质量管控。</w:t>
            </w:r>
            <w:r>
              <w:rPr>
                <w:rFonts w:ascii="宋体" w:hAnsi="宋体" w:eastAsia="宋体" w:cs="宋体"/>
                <w:bCs/>
                <w:sz w:val="24"/>
                <w:szCs w:val="24"/>
                <w:lang w:val="en-US" w:eastAsia="zh-CN" w:bidi="ar-SA"/>
              </w:rPr>
            </w:r>
            <w:r/>
          </w:p>
          <w:p>
            <w:pPr>
              <w:pStyle w:val="651"/>
              <w:numPr>
                <w:ilvl w:val="0"/>
                <w:numId w:val="0"/>
              </w:numPr>
              <w:ind w:left="0" w:firstLine="241"/>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内容较完整，可行性较强、思路较清晰、结合实际分析表述较详尽，评审为良加40%；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内容一般，思路一般，可行性一般，评审为中加10%；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内容不完整，思路不清晰，无可行性，评审为差不加分；</w:t>
            </w:r>
            <w:r>
              <w:rPr>
                <w:rFonts w:hint="eastAsia" w:ascii="宋体" w:hAnsi="宋体" w:eastAsia="宋体" w:cs="宋体"/>
                <w:sz w:val="24"/>
                <w:szCs w:val="24"/>
                <w:lang w:val="en-US" w:eastAsia="zh-CN"/>
              </w:rPr>
            </w:r>
            <w:r/>
          </w:p>
          <w:p>
            <w:pPr>
              <w:pStyle w:val="91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b/>
                <w:bCs/>
                <w:color w:val="0000ff"/>
                <w:sz w:val="24"/>
                <w:szCs w:val="24"/>
                <w:lang w:val="en-US" w:eastAsia="zh-CN"/>
              </w:rPr>
            </w:pPr>
            <w:r>
              <w:rPr>
                <w:rFonts w:hint="eastAsia" w:ascii="宋体" w:hAnsi="宋体" w:eastAsia="宋体" w:cs="宋体"/>
                <w:b/>
                <w:bCs/>
                <w:sz w:val="24"/>
                <w:szCs w:val="24"/>
                <w:lang w:val="en-US" w:eastAsia="zh-CN"/>
              </w:rPr>
              <w:t xml:space="preserve">服务管理制度</w:t>
            </w:r>
            <w:r>
              <w:rPr>
                <w:rFonts w:hint="eastAsia" w:ascii="宋体" w:hAnsi="宋体" w:eastAsia="宋体" w:cs="宋体"/>
                <w:b/>
                <w:bCs/>
                <w:color w:val="0000ff"/>
                <w:sz w:val="24"/>
                <w:szCs w:val="24"/>
                <w:lang w:val="en-US" w:eastAsia="zh-CN"/>
              </w:rPr>
            </w:r>
            <w:r/>
          </w:p>
        </w:tc>
        <w:tc>
          <w:tcPr>
            <w:shd w:val="clear" w:color="auto" w:fill="ffffff"/>
            <w:tcW w:w="780" w:type="dxa"/>
            <w:vAlign w:val="center"/>
            <w:textDirection w:val="lrTb"/>
            <w:noWrap w:val="false"/>
          </w:tcPr>
          <w:p>
            <w:pPr>
              <w:pStyle w:val="651"/>
              <w:ind w:left="0" w:right="0"/>
              <w:jc w:val="center"/>
              <w:keepLines w:val="0"/>
              <w:keepNext w:val="0"/>
              <w:pageBreakBefore w:val="0"/>
              <w:spacing w:line="400" w:lineRule="exact"/>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rPr>
                <w:rFonts w:ascii="宋体" w:hAnsi="宋体" w:eastAsia="宋体" w:cs="宋体"/>
                <w:b w:val="0"/>
                <w:bCs w:val="0"/>
                <w:sz w:val="24"/>
                <w:szCs w:val="24"/>
                <w:lang w:val="en-US" w:eastAsia="zh-CN"/>
              </w:rPr>
            </w:r>
            <w:r/>
          </w:p>
        </w:tc>
        <w:tc>
          <w:tcPr>
            <w:shd w:val="clear" w:color="auto" w:fill="ffffff"/>
            <w:tcW w:w="7112" w:type="dxa"/>
            <w:vAlign w:val="center"/>
            <w:textDirection w:val="lrTb"/>
            <w:noWrap w:val="false"/>
          </w:tcPr>
          <w:p>
            <w:pPr>
              <w:pStyle w:val="65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651"/>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w:t>
            </w:r>
            <w:r>
              <w:rPr>
                <w:rFonts w:hint="eastAsia" w:ascii="宋体" w:hAnsi="宋体" w:eastAsia="宋体" w:cs="宋体"/>
                <w:sz w:val="24"/>
                <w:szCs w:val="24"/>
                <w:highlight w:val="none"/>
                <w:lang w:val="en-US" w:eastAsia="zh-CN" w:bidi="ar-SA"/>
              </w:rPr>
              <w:t xml:space="preserve">服务管理制度方案</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65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Times New Roman"/>
                <w:color w:val="000000"/>
                <w:sz w:val="24"/>
                <w:szCs w:val="24"/>
                <w:highlight w:val="none"/>
                <w:lang w:val="en-US"/>
              </w:rPr>
              <w:t xml:space="preserve">人员</w:t>
            </w:r>
            <w:r>
              <w:rPr>
                <w:rFonts w:hint="eastAsia"/>
                <w:color w:val="000000"/>
                <w:sz w:val="24"/>
                <w:szCs w:val="24"/>
                <w:highlight w:val="none"/>
              </w:rPr>
              <w:t xml:space="preserve">培训</w:t>
            </w:r>
            <w:r>
              <w:rPr>
                <w:rFonts w:hint="eastAsia" w:ascii="Times New Roman"/>
                <w:color w:val="000000"/>
                <w:sz w:val="24"/>
                <w:szCs w:val="24"/>
                <w:highlight w:val="none"/>
                <w:lang w:val="en-US" w:eastAsia="zh-CN"/>
              </w:rPr>
              <w:t xml:space="preserve">与考核办法</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r>
            <w:r/>
          </w:p>
          <w:p>
            <w:pPr>
              <w:pStyle w:val="651"/>
              <w:ind w:left="0" w:firstLine="240"/>
              <w:jc w:val="both"/>
              <w:keepLines w:val="0"/>
              <w:keepNext w:val="0"/>
              <w:pageBreakBefore w:val="0"/>
              <w:spacing w:before="0" w:beforeAutospacing="0" w:after="0" w:afterAutospacing="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2.人员保障措施；</w:t>
            </w:r>
            <w:r>
              <w:rPr>
                <w:rFonts w:hint="eastAsia" w:ascii="Times New Roman" w:hAnsi="Times New Roman" w:eastAsia="宋体" w:cs="Times New Roman"/>
                <w:color w:val="000000"/>
                <w:sz w:val="24"/>
                <w:szCs w:val="24"/>
                <w:highlight w:val="none"/>
                <w:lang w:val="en-US" w:eastAsia="zh-CN"/>
              </w:rPr>
            </w:r>
            <w:r/>
          </w:p>
          <w:p>
            <w:pPr>
              <w:pStyle w:val="651"/>
              <w:ind w:left="0" w:firstLine="240"/>
              <w:jc w:val="both"/>
              <w:keepLines w:val="0"/>
              <w:keepNext w:val="0"/>
              <w:pageBreakBefore w:val="0"/>
              <w:spacing w:before="0" w:beforeAutospacing="0" w:after="0" w:afterAutospacing="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3.人员应急调配；</w:t>
            </w:r>
            <w:r>
              <w:rPr>
                <w:rFonts w:hint="eastAsia" w:ascii="Times New Roman" w:hAnsi="Times New Roman" w:eastAsia="宋体" w:cs="Times New Roman"/>
                <w:color w:val="000000"/>
                <w:sz w:val="24"/>
                <w:szCs w:val="24"/>
                <w:highlight w:val="none"/>
                <w:lang w:val="en-US" w:eastAsia="zh-CN"/>
              </w:rPr>
            </w:r>
            <w:r/>
          </w:p>
          <w:p>
            <w:pPr>
              <w:pStyle w:val="651"/>
              <w:ind w:left="0" w:firstLine="240"/>
              <w:jc w:val="both"/>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4.人员管理制度。</w:t>
            </w:r>
            <w:r>
              <w:rPr>
                <w:rFonts w:ascii="Times New Roman" w:hAnsi="Times New Roman" w:eastAsia="宋体" w:cs="Times New Roman"/>
                <w:color w:val="000000"/>
                <w:sz w:val="24"/>
                <w:szCs w:val="24"/>
                <w:highlight w:val="none"/>
                <w:lang w:val="en-US" w:eastAsia="zh-CN"/>
              </w:rPr>
            </w:r>
            <w:r/>
          </w:p>
          <w:p>
            <w:pPr>
              <w:pStyle w:val="65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(2)方案内容较完整，可行性较强、思路较清晰、结合实际分析表述较详尽，评审为良加40%；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(3)方案内容一般，思路一般，可行性一般，评审为中加10%；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(4)方案内容不完整，思路不清晰，无可行性，评审为差不加分；</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SA"/>
              </w:rPr>
              <w:t xml:space="preserve">(5)未提供的不得分。</w:t>
            </w:r>
            <w:r>
              <w:rPr>
                <w:rFonts w:hint="eastAsia" w:ascii="宋体" w:hAnsi="宋体" w:eastAsia="宋体" w:cs="宋体"/>
                <w:sz w:val="24"/>
                <w:szCs w:val="24"/>
                <w:lang w:val="en-US" w:eastAsia="zh-CN"/>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154" w:type="dxa"/>
            <w:vAlign w:val="center"/>
            <w:textDirection w:val="lrTb"/>
            <w:noWrap w:val="false"/>
          </w:tcPr>
          <w:p>
            <w:pPr>
              <w:pStyle w:val="651"/>
              <w:ind w:left="0"/>
              <w:jc w:val="cente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b/>
                <w:bCs/>
                <w:sz w:val="24"/>
                <w:szCs w:val="24"/>
                <w:lang w:val="en-US" w:eastAsia="zh-CN"/>
              </w:rPr>
              <w:t xml:space="preserve">应急预案</w:t>
            </w:r>
            <w:r>
              <w:rPr>
                <w:rFonts w:hint="eastAsia" w:ascii="宋体" w:hAnsi="宋体" w:eastAsia="宋体" w:cs="宋体"/>
                <w:sz w:val="24"/>
                <w:szCs w:val="24"/>
                <w:highlight w:val="none"/>
              </w:rPr>
            </w:r>
            <w:r/>
          </w:p>
        </w:tc>
        <w:tc>
          <w:tcPr>
            <w:tcW w:w="780" w:type="dxa"/>
            <w:vAlign w:val="center"/>
            <w:textDirection w:val="lrTb"/>
            <w:noWrap w:val="false"/>
          </w:tcPr>
          <w:p>
            <w:pPr>
              <w:pStyle w:val="651"/>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91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916"/>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w:t>
            </w:r>
            <w:r>
              <w:rPr>
                <w:rFonts w:hint="eastAsia" w:ascii="宋体" w:hAnsi="宋体" w:eastAsia="宋体" w:cs="宋体"/>
                <w:sz w:val="24"/>
                <w:szCs w:val="24"/>
                <w:highlight w:val="none"/>
                <w:lang w:val="en-US" w:eastAsia="zh-CN"/>
              </w:rPr>
              <w:t xml:space="preserve">应急预案，</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91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sz w:val="24"/>
                <w:szCs w:val="24"/>
                <w:highlight w:val="none"/>
                <w:lang w:val="en-US" w:eastAsia="zh-CN" w:bidi="ar-SA"/>
              </w:rPr>
              <w:t xml:space="preserve">风险防控与</w:t>
            </w:r>
            <w:r>
              <w:rPr>
                <w:rFonts w:hint="eastAsia" w:ascii="宋体" w:hAnsi="宋体" w:eastAsia="宋体" w:cs="宋体"/>
                <w:bCs/>
                <w:sz w:val="24"/>
                <w:szCs w:val="24"/>
                <w:highlight w:val="none"/>
                <w:lang w:val="en-US" w:eastAsia="zh-CN" w:bidi="ar-SA"/>
              </w:rPr>
              <w:t xml:space="preserve">应急预案</w:t>
            </w:r>
            <w:r>
              <w:rPr>
                <w:rFonts w:hint="eastAsia"/>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16"/>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2.应急保障措施；</w:t>
            </w:r>
            <w:r>
              <w:rPr>
                <w:rFonts w:ascii="宋体" w:hAnsi="宋体" w:eastAsia="宋体" w:cs="宋体"/>
                <w:sz w:val="24"/>
                <w:szCs w:val="24"/>
                <w:highlight w:val="none"/>
                <w:lang w:val="en-US" w:eastAsia="zh-CN"/>
              </w:rPr>
            </w:r>
            <w:r/>
          </w:p>
          <w:p>
            <w:pPr>
              <w:pStyle w:val="916"/>
              <w:ind w:left="0" w:firstLine="241"/>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1.考察以上内容,每满足任意一项内容得20%，最高得40%。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(1)内容完整，可行性强、思路清晰、结合实际分析表述详尽，评审为优加60%；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(2)内容较完整，可行性较强、思路较清晰、结合实际分析表述较详尽，评审为良加40%；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(3)内容一般，思路一般，可行性一般，评审为中加10%；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(4)内容不完整，思路不清晰，无可行性，评审为差不加分；</w:t>
            </w:r>
            <w:r>
              <w:rPr>
                <w:rFonts w:hint="eastAsia" w:ascii="宋体" w:hAnsi="宋体" w:eastAsia="宋体" w:cs="宋体"/>
                <w:sz w:val="24"/>
                <w:szCs w:val="24"/>
                <w:lang w:val="en-US" w:eastAsia="zh-CN"/>
              </w:rPr>
            </w:r>
            <w:r/>
          </w:p>
          <w:p>
            <w:pPr>
              <w:pStyle w:val="91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154"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服务保障能力</w:t>
            </w:r>
            <w:r>
              <w:rPr>
                <w:rFonts w:hint="eastAsia" w:ascii="宋体" w:hAnsi="宋体" w:eastAsia="宋体" w:cs="宋体"/>
                <w:b/>
                <w:bCs/>
                <w:sz w:val="24"/>
                <w:szCs w:val="24"/>
                <w:lang w:val="en-US" w:eastAsia="zh-CN"/>
              </w:rPr>
            </w:r>
            <w:r/>
          </w:p>
        </w:tc>
        <w:tc>
          <w:tcPr>
            <w:tcW w:w="780" w:type="dxa"/>
            <w:vAlign w:val="center"/>
            <w:textDirection w:val="lrTb"/>
            <w:noWrap w:val="false"/>
          </w:tcPr>
          <w:p>
            <w:pPr>
              <w:pStyle w:val="651"/>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65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651"/>
              <w:ind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投标人针对本次项目提供服务保障能力方案，</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651"/>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lang w:val="en-US" w:eastAsia="zh-CN" w:bidi="ar-SA"/>
              </w:rPr>
              <w:t xml:space="preserve">1.日常运行维护；</w:t>
            </w:r>
            <w:r>
              <w:rPr>
                <w:rFonts w:hint="eastAsia" w:ascii="宋体" w:hAnsi="宋体" w:eastAsia="宋体" w:cs="宋体"/>
                <w:sz w:val="24"/>
                <w:szCs w:val="24"/>
                <w:highlight w:val="none"/>
                <w:lang w:val="en-US" w:eastAsia="zh-CN" w:bidi="ar-SA"/>
              </w:rPr>
            </w:r>
            <w:r/>
          </w:p>
          <w:p>
            <w:pPr>
              <w:pStyle w:val="65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2.一般故障响应；</w:t>
            </w:r>
            <w:r>
              <w:rPr>
                <w:rFonts w:hint="eastAsia" w:ascii="宋体" w:hAnsi="宋体" w:eastAsia="宋体" w:cs="宋体"/>
                <w:sz w:val="24"/>
                <w:szCs w:val="24"/>
                <w:highlight w:val="none"/>
                <w:lang w:val="en-US" w:eastAsia="zh-CN" w:bidi="ar-SA"/>
              </w:rPr>
            </w:r>
            <w:r/>
          </w:p>
          <w:p>
            <w:pPr>
              <w:pStyle w:val="65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1"/>
                <w:lang w:val="en-US" w:eastAsia="zh-CN"/>
              </w:rPr>
            </w:pPr>
            <w:r>
              <w:rPr>
                <w:rFonts w:hint="eastAsia" w:ascii="宋体" w:hAnsi="宋体" w:eastAsia="宋体" w:cs="宋体"/>
                <w:sz w:val="24"/>
                <w:szCs w:val="24"/>
                <w:highlight w:val="none"/>
                <w:lang w:val="en-US" w:eastAsia="zh-CN" w:bidi="ar-SA"/>
              </w:rPr>
              <w:t xml:space="preserve">3.重大故障响应</w:t>
            </w:r>
            <w:r>
              <w:rPr>
                <w:rFonts w:hint="eastAsia" w:ascii="宋体" w:hAnsi="宋体" w:eastAsia="宋体" w:cs="宋体"/>
                <w:color w:val="000000"/>
                <w:sz w:val="24"/>
                <w:szCs w:val="21"/>
                <w:lang w:val="en-US" w:eastAsia="zh-CN"/>
              </w:rPr>
              <w:t xml:space="preserve">；</w:t>
            </w:r>
            <w:r>
              <w:rPr>
                <w:rFonts w:hint="eastAsia" w:ascii="宋体" w:hAnsi="宋体" w:eastAsia="宋体" w:cs="宋体"/>
                <w:color w:val="000000"/>
                <w:sz w:val="24"/>
                <w:szCs w:val="21"/>
                <w:lang w:val="en-US" w:eastAsia="zh-CN"/>
              </w:rPr>
            </w:r>
            <w:r/>
          </w:p>
          <w:p>
            <w:pPr>
              <w:pStyle w:val="651"/>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1"/>
                <w:lang w:val="en-US" w:eastAsia="zh-CN"/>
              </w:rPr>
              <w:t xml:space="preserve">4.服务响应时间等。</w:t>
            </w:r>
            <w:r>
              <w:rPr>
                <w:rFonts w:ascii="宋体" w:hAnsi="宋体" w:eastAsia="宋体" w:cs="宋体"/>
                <w:sz w:val="24"/>
                <w:szCs w:val="24"/>
                <w:highlight w:val="none"/>
                <w:lang w:val="en-US" w:eastAsia="zh-CN" w:bidi="ar-SA"/>
              </w:rPr>
            </w:r>
            <w:r/>
          </w:p>
          <w:p>
            <w:pPr>
              <w:pStyle w:val="65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(1)内容完整，思路清晰、有重难点、结合实际分析表述详尽，建议可行性较强，评审为优加60%；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(2)内容较完整，思路较清晰、有重难点、结合实际分析表述较详尽，建议合理，评审为良加40%；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(3)内容一般，思路一般，重难点、结合实际分析一般，建议可行性一般，评审为中加10%；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(4)内容不完整，思路不清晰，重难点、结合实际分析差，建议无可行性，评审为差不加分；</w:t>
            </w:r>
            <w:r>
              <w:rPr>
                <w:rFonts w:hint="eastAsia" w:ascii="宋体" w:hAnsi="宋体" w:eastAsia="宋体" w:cs="宋体"/>
                <w:sz w:val="24"/>
                <w:szCs w:val="24"/>
                <w:lang w:val="en-US" w:eastAsia="zh-CN"/>
              </w:rPr>
            </w:r>
            <w:r/>
          </w:p>
          <w:p>
            <w:pPr>
              <w:pStyle w:val="91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(5)未提供的不得分。</w:t>
            </w:r>
            <w:r>
              <w:rPr>
                <w:rFonts w:hint="eastAsia" w:ascii="宋体" w:hAnsi="宋体" w:eastAsia="宋体" w:cs="宋体"/>
                <w:sz w:val="24"/>
                <w:szCs w:val="24"/>
                <w:lang w:val="en-US" w:eastAsia="zh-CN"/>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154" w:type="dxa"/>
            <w:vAlign w:val="center"/>
            <w:textDirection w:val="lrTb"/>
            <w:noWrap w:val="false"/>
          </w:tcPr>
          <w:p>
            <w:pPr>
              <w:pStyle w:val="651"/>
              <w:ind w:left="0"/>
              <w:jc w:val="center"/>
              <w:keepLines w:val="0"/>
              <w:keepNext w:val="0"/>
              <w:pageBreakBefore w:val="0"/>
              <w:spacing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服务重点难点及合理化建议</w:t>
            </w:r>
            <w:r>
              <w:rPr>
                <w:rFonts w:ascii="宋体" w:hAnsi="宋体" w:eastAsia="宋体" w:cs="宋体"/>
                <w:b/>
                <w:bCs/>
                <w:sz w:val="24"/>
                <w:szCs w:val="24"/>
                <w:lang w:val="en-US" w:eastAsia="zh-CN"/>
              </w:rPr>
            </w:r>
            <w:r/>
          </w:p>
        </w:tc>
        <w:tc>
          <w:tcPr>
            <w:tcW w:w="780" w:type="dxa"/>
            <w:vAlign w:val="center"/>
            <w:textDirection w:val="lrTb"/>
            <w:noWrap w:val="false"/>
          </w:tcPr>
          <w:p>
            <w:pPr>
              <w:pStyle w:val="651"/>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65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651"/>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投标人针对本次项目提供服务重点难点及合理化建议，</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651"/>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lang w:val="en-US" w:eastAsia="zh-CN" w:bidi="ar-SA"/>
              </w:rPr>
              <w:t xml:space="preserve">1.重难点列举；</w:t>
            </w:r>
            <w:r>
              <w:rPr>
                <w:rFonts w:hint="eastAsia" w:ascii="宋体" w:hAnsi="宋体" w:eastAsia="宋体" w:cs="宋体"/>
                <w:sz w:val="24"/>
                <w:szCs w:val="24"/>
                <w:highlight w:val="none"/>
                <w:lang w:val="en-US" w:eastAsia="zh-CN" w:bidi="ar-SA"/>
              </w:rPr>
            </w:r>
            <w:r/>
          </w:p>
          <w:p>
            <w:pPr>
              <w:pStyle w:val="65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color w:val="000000"/>
                <w:sz w:val="24"/>
                <w:szCs w:val="24"/>
                <w:highlight w:val="none"/>
              </w:rPr>
              <w:t xml:space="preserve">重难点分析及针对措施</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51"/>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3.针对本项目提出</w:t>
            </w:r>
            <w:r>
              <w:rPr>
                <w:rFonts w:hint="eastAsia" w:ascii="宋体" w:hAnsi="宋体" w:eastAsia="宋体" w:cs="宋体"/>
                <w:color w:val="000000"/>
                <w:sz w:val="24"/>
                <w:szCs w:val="21"/>
                <w:lang w:val="en-US" w:eastAsia="zh-CN"/>
              </w:rPr>
              <w:t xml:space="preserve">可能存在的问题的合理化建议。</w:t>
            </w:r>
            <w:r>
              <w:rPr>
                <w:rFonts w:ascii="宋体" w:hAnsi="宋体" w:eastAsia="宋体" w:cs="宋体"/>
                <w:sz w:val="24"/>
                <w:szCs w:val="24"/>
                <w:highlight w:val="none"/>
                <w:lang w:val="en-US" w:eastAsia="zh-CN" w:bidi="ar-SA"/>
              </w:rPr>
            </w:r>
            <w:r/>
          </w:p>
          <w:p>
            <w:pPr>
              <w:pStyle w:val="65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1.考察以上内容,每满足任意一项内容得10%，最高得30%。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(1)方案、措施内容完整，思路清晰、有重难点、结合实际分析表述详尽，</w:t>
            </w:r>
            <w:r>
              <w:rPr>
                <w:rFonts w:hint="eastAsia" w:ascii="宋体" w:hAnsi="宋体" w:eastAsia="宋体" w:cs="宋体"/>
                <w:sz w:val="24"/>
                <w:szCs w:val="24"/>
                <w:lang w:val="en-US" w:eastAsia="zh-CN"/>
              </w:rPr>
              <w:t xml:space="preserve">建议可行性较强，</w:t>
            </w:r>
            <w:r>
              <w:rPr>
                <w:rFonts w:hint="eastAsia" w:ascii="宋体" w:hAnsi="宋体" w:eastAsia="宋体" w:cs="宋体"/>
                <w:sz w:val="24"/>
                <w:szCs w:val="24"/>
                <w:lang w:val="en-US" w:eastAsia="zh-CN"/>
              </w:rPr>
              <w:t xml:space="preserve">评审为优加70%；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内容较完整，思路较清晰、有重难点、结合实际分析表述较详尽，建议</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lang w:val="en-US" w:eastAsia="zh-CN"/>
              </w:rPr>
              <w:t xml:space="preserve">，评审为良加40%；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内容一般，思路一般，</w:t>
            </w:r>
            <w:r>
              <w:rPr>
                <w:rFonts w:hint="eastAsia" w:ascii="宋体" w:hAnsi="宋体" w:eastAsia="宋体" w:cs="宋体"/>
                <w:sz w:val="24"/>
                <w:szCs w:val="24"/>
                <w:lang w:val="en-US" w:eastAsia="zh-CN"/>
              </w:rPr>
              <w:t xml:space="preserve">重难点、结合实际分析一般，</w:t>
            </w:r>
            <w:r>
              <w:rPr>
                <w:rFonts w:hint="eastAsia" w:ascii="宋体" w:hAnsi="宋体" w:eastAsia="宋体" w:cs="宋体"/>
                <w:sz w:val="24"/>
                <w:szCs w:val="24"/>
                <w:lang w:val="en-US" w:eastAsia="zh-CN"/>
              </w:rPr>
              <w:t xml:space="preserve">建议可行性一般，评审为中加10%；</w:t>
            </w:r>
            <w:r>
              <w:rPr>
                <w:rFonts w:hint="eastAsia" w:ascii="宋体" w:hAnsi="宋体" w:eastAsia="宋体" w:cs="宋体"/>
                <w:sz w:val="24"/>
                <w:szCs w:val="24"/>
                <w:lang w:val="en-US" w:eastAsia="zh-CN"/>
              </w:rPr>
            </w:r>
            <w:r/>
          </w:p>
          <w:p>
            <w:pPr>
              <w:pStyle w:val="651"/>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内容不完整，思路不清晰，</w:t>
            </w:r>
            <w:r>
              <w:rPr>
                <w:rFonts w:hint="eastAsia" w:ascii="宋体" w:hAnsi="宋体" w:eastAsia="宋体" w:cs="宋体"/>
                <w:sz w:val="24"/>
                <w:szCs w:val="24"/>
                <w:lang w:val="en-US" w:eastAsia="zh-CN"/>
              </w:rPr>
              <w:t xml:space="preserve">重难点、结合实际分析差，</w:t>
            </w:r>
            <w:r>
              <w:rPr>
                <w:rFonts w:hint="eastAsia" w:ascii="宋体" w:hAnsi="宋体" w:eastAsia="宋体" w:cs="宋体"/>
                <w:sz w:val="24"/>
                <w:szCs w:val="24"/>
                <w:lang w:val="en-US" w:eastAsia="zh-CN"/>
              </w:rPr>
              <w:t xml:space="preserve">建议无可行性，评审为差不加分；</w:t>
            </w:r>
            <w:r>
              <w:rPr>
                <w:rFonts w:hint="eastAsia" w:ascii="宋体" w:hAnsi="宋体" w:eastAsia="宋体" w:cs="宋体"/>
                <w:sz w:val="24"/>
                <w:szCs w:val="24"/>
                <w:lang w:val="en-US" w:eastAsia="zh-CN"/>
              </w:rPr>
            </w:r>
            <w:r/>
          </w:p>
          <w:p>
            <w:pPr>
              <w:pStyle w:val="91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4" w:type="dxa"/>
            <w:vAlign w:val="center"/>
            <w:textDirection w:val="lrTb"/>
            <w:noWrap w:val="false"/>
          </w:tcPr>
          <w:p>
            <w:pPr>
              <w:pStyle w:val="651"/>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651"/>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ascii="宋体" w:hAnsi="宋体" w:eastAsia="宋体" w:cs="宋体"/>
                <w:sz w:val="24"/>
                <w:szCs w:val="24"/>
                <w:lang w:val="en-US" w:eastAsia="zh-CN"/>
              </w:rPr>
            </w:r>
            <w:r/>
          </w:p>
        </w:tc>
        <w:tc>
          <w:tcPr>
            <w:tcW w:w="7112"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651"/>
              <w:ind w:left="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651"/>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认证证书</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51"/>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651"/>
              <w:jc w:val="left"/>
              <w:spacing w:line="400" w:lineRule="exact"/>
              <w:tabs>
                <w:tab w:val="left" w:pos="0" w:leader="none"/>
              </w:tabs>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投标人具有有效的质量管理体系认证证书、CMMI软件成熟度三级或以上认证的、信息安全管理体系认证证书、信息技术服务管理体系认证证书，每有一项得2分，最高得8分。</w:t>
            </w:r>
            <w:r>
              <w:rPr>
                <w:rFonts w:hint="eastAsia" w:ascii="宋体" w:hAnsi="宋体" w:eastAsia="宋体" w:cs="宋体"/>
                <w:color w:val="000000"/>
                <w:sz w:val="24"/>
                <w:szCs w:val="24"/>
                <w:highlight w:val="none"/>
                <w:lang w:val="en-US" w:bidi="zh-CN"/>
              </w:rPr>
            </w:r>
            <w:r/>
          </w:p>
          <w:p>
            <w:pPr>
              <w:pStyle w:val="651"/>
              <w:numPr>
                <w:ilvl w:val="0"/>
                <w:numId w:val="0"/>
              </w:numPr>
              <w:jc w:val="both"/>
              <w:keepLines w:val="0"/>
              <w:keepNext w:val="0"/>
              <w:pageBreakBefore w:val="0"/>
              <w:spacing w:line="40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color w:val="000000"/>
                <w:sz w:val="24"/>
                <w:szCs w:val="24"/>
                <w:highlight w:val="yellow"/>
                <w:lang w:val="en-US" w:bidi="zh-CN"/>
              </w:rPr>
              <w:t xml:space="preserve">注：提供</w:t>
            </w:r>
            <w:r>
              <w:rPr>
                <w:rFonts w:hint="eastAsia" w:ascii="宋体" w:hAnsi="宋体" w:eastAsia="宋体" w:cs="宋体"/>
                <w:b/>
                <w:bCs/>
                <w:color w:val="000000"/>
                <w:sz w:val="24"/>
                <w:szCs w:val="24"/>
                <w:highlight w:val="yellow"/>
                <w:lang w:val="en-US" w:eastAsia="zh-CN" w:bidi="zh-CN"/>
              </w:rPr>
              <w:t xml:space="preserve">有效的认证</w:t>
            </w:r>
            <w:r>
              <w:rPr>
                <w:rFonts w:hint="eastAsia" w:ascii="宋体" w:hAnsi="宋体" w:eastAsia="宋体" w:cs="宋体"/>
                <w:b/>
                <w:bCs/>
                <w:color w:val="000000"/>
                <w:sz w:val="24"/>
                <w:szCs w:val="24"/>
                <w:highlight w:val="yellow"/>
                <w:lang w:val="en-US" w:bidi="zh-CN"/>
              </w:rPr>
              <w:t xml:space="preserve">证书</w:t>
            </w:r>
            <w:r>
              <w:rPr>
                <w:rFonts w:hint="eastAsia" w:ascii="宋体" w:hAnsi="宋体" w:eastAsia="宋体" w:cs="宋体"/>
                <w:b/>
                <w:bCs/>
                <w:sz w:val="24"/>
                <w:szCs w:val="24"/>
                <w:highlight w:val="yellow"/>
                <w:lang w:val="en-US" w:eastAsia="zh-CN" w:bidi="ar-SA"/>
              </w:rPr>
              <w:t xml:space="preserve">（扫描件或图片）</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zh-CN" w:bidi="zh-CN"/>
              </w:rPr>
              <w:t xml:space="preserve">。</w:t>
            </w:r>
            <w:r>
              <w:rPr>
                <w:rFonts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651"/>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W w:w="751" w:type="dxa"/>
            <w:vAlign w:val="center"/>
            <w:textDirection w:val="lrTb"/>
            <w:noWrap w:val="false"/>
          </w:tcPr>
          <w:p>
            <w:pPr>
              <w:pStyle w:val="651"/>
              <w:ind w:left="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ascii="宋体" w:hAnsi="宋体" w:eastAsia="宋体" w:cs="宋体"/>
                <w:color w:val="000000"/>
                <w:sz w:val="24"/>
                <w:szCs w:val="24"/>
                <w:lang w:val="en-US" w:eastAsia="zh-CN"/>
              </w:rPr>
            </w:r>
            <w:r/>
          </w:p>
        </w:tc>
        <w:tc>
          <w:tcPr>
            <w:tcW w:w="1154" w:type="dxa"/>
            <w:vAlign w:val="center"/>
            <w:textDirection w:val="lrTb"/>
            <w:noWrap w:val="false"/>
          </w:tcPr>
          <w:p>
            <w:pPr>
              <w:pStyle w:val="651"/>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人员配备</w:t>
            </w:r>
            <w:r>
              <w:rPr>
                <w:rFonts w:hint="eastAsia" w:ascii="宋体" w:hAnsi="宋体" w:eastAsia="宋体" w:cs="宋体"/>
                <w:b/>
                <w:bCs/>
                <w:color w:val="000000"/>
                <w:sz w:val="24"/>
                <w:szCs w:val="24"/>
                <w:highlight w:val="none"/>
                <w:lang w:val="en-US" w:eastAsia="zh-CN"/>
              </w:rPr>
            </w:r>
            <w:r/>
          </w:p>
        </w:tc>
        <w:tc>
          <w:tcPr>
            <w:tcW w:w="780" w:type="dxa"/>
            <w:vAlign w:val="center"/>
            <w:textDirection w:val="lrTb"/>
            <w:noWrap w:val="false"/>
          </w:tcPr>
          <w:p>
            <w:pPr>
              <w:pStyle w:val="651"/>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651"/>
              <w:jc w:val="both"/>
              <w:keepLines w:val="0"/>
              <w:keepNext w:val="0"/>
              <w:pageBreakBefore w:val="0"/>
              <w:spacing w:line="400" w:lineRule="exact"/>
              <w:tabs>
                <w:tab w:val="left" w:pos="426" w:leader="none"/>
              </w:tabs>
              <w:rPr>
                <w:rFonts w:hint="eastAsia" w:ascii="Times New Roman"/>
                <w:color w:val="000000"/>
                <w:sz w:val="24"/>
                <w:szCs w:val="24"/>
                <w:highlight w:val="none"/>
                <w:lang w:val="en-US" w:eastAsia="zh-CN"/>
              </w:rPr>
              <w:outlineLvl w:val="9"/>
            </w:pPr>
            <w:r>
              <w:rPr>
                <w:rFonts w:hint="eastAsia" w:ascii="Times New Roman"/>
                <w:color w:val="000000"/>
                <w:sz w:val="24"/>
                <w:szCs w:val="24"/>
                <w:highlight w:val="none"/>
                <w:lang w:val="en-US" w:eastAsia="zh-CN"/>
              </w:rPr>
              <w:t xml:space="preserve">具有信息系统项目管理师证书（工信部软考）得3分；</w:t>
            </w:r>
            <w:r>
              <w:rPr>
                <w:rFonts w:hint="eastAsia" w:ascii="Times New Roman"/>
                <w:color w:val="000000"/>
                <w:sz w:val="24"/>
                <w:szCs w:val="24"/>
                <w:highlight w:val="none"/>
                <w:lang w:val="en-US" w:eastAsia="zh-CN"/>
              </w:rPr>
            </w:r>
            <w:r/>
          </w:p>
          <w:p>
            <w:pPr>
              <w:pStyle w:val="651"/>
              <w:jc w:val="left"/>
              <w:spacing w:line="400" w:lineRule="exact"/>
              <w:tabs>
                <w:tab w:val="left" w:pos="0" w:leader="none"/>
              </w:tabs>
              <w:rPr>
                <w:rFonts w:hint="eastAsia" w:ascii="宋体" w:hAnsi="宋体" w:eastAsia="宋体" w:cs="宋体"/>
                <w:color w:val="000000"/>
                <w:sz w:val="24"/>
                <w:szCs w:val="24"/>
                <w:highlight w:val="none"/>
                <w:lang w:val="en-US" w:eastAsia="zh-CN" w:bidi="zh-CN"/>
              </w:rPr>
            </w:pPr>
            <w:r>
              <w:rPr>
                <w:rFonts w:hint="eastAsia" w:ascii="宋体" w:hAnsi="宋体" w:eastAsia="宋体" w:cs="宋体"/>
                <w:sz w:val="24"/>
                <w:szCs w:val="24"/>
                <w:highlight w:val="none"/>
                <w:lang w:val="en-US" w:eastAsia="zh-CN"/>
              </w:rPr>
              <w:t xml:space="preserve">具</w:t>
            </w:r>
            <w:r>
              <w:rPr>
                <w:rFonts w:hint="eastAsia" w:ascii="宋体" w:hAnsi="宋体" w:eastAsia="宋体" w:cs="宋体"/>
                <w:color w:val="000000"/>
                <w:sz w:val="24"/>
                <w:szCs w:val="24"/>
                <w:highlight w:val="none"/>
                <w:lang w:val="en-US" w:eastAsia="zh-CN" w:bidi="zh-CN"/>
              </w:rPr>
              <w:t xml:space="preserve">有系统集成项目管理工程师证书的得3分；</w:t>
            </w:r>
            <w:r>
              <w:rPr>
                <w:rFonts w:hint="eastAsia" w:ascii="宋体" w:hAnsi="宋体" w:eastAsia="宋体" w:cs="宋体"/>
                <w:color w:val="000000"/>
                <w:sz w:val="24"/>
                <w:szCs w:val="24"/>
                <w:highlight w:val="none"/>
                <w:lang w:val="en-US" w:eastAsia="zh-CN" w:bidi="zh-CN"/>
              </w:rPr>
            </w:r>
            <w:r/>
          </w:p>
          <w:p>
            <w:pPr>
              <w:pStyle w:val="651"/>
              <w:jc w:val="left"/>
              <w:spacing w:line="400" w:lineRule="exact"/>
              <w:tabs>
                <w:tab w:val="left" w:pos="0" w:leader="none"/>
              </w:tabs>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具有中级数据库系统工程师证书的得2分；</w:t>
            </w:r>
            <w:r>
              <w:rPr>
                <w:rFonts w:hint="eastAsia" w:ascii="宋体" w:hAnsi="宋体" w:eastAsia="宋体" w:cs="宋体"/>
                <w:color w:val="000000"/>
                <w:sz w:val="24"/>
                <w:szCs w:val="24"/>
                <w:highlight w:val="none"/>
                <w:lang w:val="en-US" w:eastAsia="zh-CN" w:bidi="zh-CN"/>
              </w:rPr>
            </w:r>
            <w:r/>
          </w:p>
          <w:p>
            <w:pPr>
              <w:pStyle w:val="651"/>
              <w:jc w:val="left"/>
              <w:spacing w:line="400" w:lineRule="exact"/>
              <w:tabs>
                <w:tab w:val="left" w:pos="0" w:leader="none"/>
              </w:tabs>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具有网络工程师的得2分。</w:t>
            </w:r>
            <w:r>
              <w:rPr>
                <w:rFonts w:hint="eastAsia" w:ascii="宋体" w:hAnsi="宋体" w:eastAsia="宋体" w:cs="宋体"/>
                <w:color w:val="000000"/>
                <w:sz w:val="24"/>
                <w:szCs w:val="24"/>
                <w:highlight w:val="none"/>
                <w:lang w:val="en-US" w:eastAsia="zh-CN" w:bidi="zh-CN"/>
              </w:rPr>
            </w:r>
            <w:r/>
          </w:p>
          <w:p>
            <w:pPr>
              <w:pStyle w:val="651"/>
              <w:jc w:val="both"/>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yellow"/>
                <w:lang w:val="en-US" w:eastAsia="zh-CN" w:bidi="ar-SA"/>
              </w:rPr>
              <w:outlineLvl w:val="9"/>
            </w:pPr>
            <w:r>
              <w:rPr>
                <w:rFonts w:hint="eastAsia" w:ascii="宋体" w:hAnsi="宋体" w:eastAsia="宋体" w:cs="宋体"/>
                <w:b/>
                <w:bCs/>
                <w:color w:val="000000"/>
                <w:sz w:val="24"/>
                <w:szCs w:val="24"/>
                <w:highlight w:val="yellow"/>
                <w:lang w:val="en-US" w:eastAsia="zh-CN"/>
              </w:rPr>
              <w:t xml:space="preserve">注：</w:t>
            </w:r>
            <w:r>
              <w:rPr>
                <w:rFonts w:hint="eastAsia" w:ascii="宋体" w:hAnsi="宋体" w:eastAsia="宋体" w:cs="宋体"/>
                <w:b/>
                <w:bCs/>
                <w:color w:val="000000"/>
                <w:sz w:val="24"/>
                <w:szCs w:val="24"/>
                <w:highlight w:val="yellow"/>
                <w:lang w:eastAsia="zh-CN"/>
              </w:rPr>
              <w:t xml:space="preserve">提供</w:t>
            </w:r>
            <w:r>
              <w:rPr>
                <w:rFonts w:hint="eastAsia" w:ascii="宋体" w:hAnsi="宋体" w:eastAsia="宋体" w:cs="宋体"/>
                <w:b/>
                <w:bCs/>
                <w:color w:val="000000"/>
                <w:sz w:val="24"/>
                <w:szCs w:val="24"/>
                <w:highlight w:val="yellow"/>
                <w:lang w:val="en-US" w:eastAsia="zh-CN"/>
              </w:rPr>
              <w:t xml:space="preserve">以上人员相关资质证书</w:t>
            </w:r>
            <w:r>
              <w:rPr>
                <w:rFonts w:hint="eastAsia" w:ascii="宋体" w:hAnsi="宋体" w:eastAsia="宋体" w:cs="宋体"/>
                <w:b/>
                <w:bCs/>
                <w:color w:val="000000"/>
                <w:sz w:val="24"/>
                <w:szCs w:val="24"/>
                <w:highlight w:val="yellow"/>
                <w:lang w:val="en-US" w:eastAsia="zh-CN"/>
              </w:rPr>
              <w:t xml:space="preserve">（扫描件或图片）及投标人为其缴纳的近半年内任意一个月（投标截止之日往前推）</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en-US" w:eastAsia="zh-CN"/>
              </w:rPr>
              <w:t xml:space="preserve">的社保缴纳证明（扫描件或图片））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bidi="ar-SA"/>
              </w:rPr>
              <w:t xml:space="preserve">不提供或提供不全不得分</w:t>
            </w:r>
            <w:r>
              <w:rPr>
                <w:rFonts w:hint="eastAsia" w:ascii="宋体" w:hAnsi="宋体" w:eastAsia="宋体" w:cs="宋体"/>
                <w:b/>
                <w:bCs/>
                <w:color w:val="000000"/>
                <w:sz w:val="24"/>
                <w:szCs w:val="24"/>
                <w:highlight w:val="yellow"/>
                <w:lang w:val="en-US" w:eastAsia="zh-CN" w:bidi="ar-SA"/>
              </w:rPr>
            </w:r>
            <w:r/>
          </w:p>
          <w:p>
            <w:pPr>
              <w:pStyle w:val="651"/>
              <w:jc w:val="both"/>
              <w:keepLines w:val="0"/>
              <w:keepNext w:val="0"/>
              <w:pageBreakBefore w:val="0"/>
              <w:spacing w:line="400" w:lineRule="exact"/>
              <w:tabs>
                <w:tab w:val="left" w:pos="426" w:leader="none"/>
              </w:tabs>
              <w:rPr>
                <w:rFonts w:ascii="宋体" w:hAnsi="宋体" w:eastAsia="宋体" w:cs="宋体"/>
                <w:b/>
                <w:bCs/>
                <w:color w:val="000000"/>
                <w:sz w:val="24"/>
                <w:szCs w:val="24"/>
                <w:highlight w:val="yellow"/>
                <w:lang w:val="en-US" w:bidi="zh-CN"/>
              </w:rPr>
              <w:outlineLvl w:val="9"/>
            </w:pPr>
            <w:r>
              <w:rPr>
                <w:rFonts w:hint="eastAsia" w:ascii="宋体" w:hAnsi="宋体" w:eastAsia="宋体" w:cs="宋体"/>
                <w:b/>
                <w:bCs/>
                <w:color w:val="000000"/>
                <w:sz w:val="24"/>
                <w:szCs w:val="24"/>
                <w:highlight w:val="yellow"/>
                <w:lang w:val="en-US" w:eastAsia="zh-CN"/>
              </w:rPr>
              <w:t xml:space="preserve">同一人不重复计分</w:t>
            </w:r>
            <w:r>
              <w:rPr>
                <w:rFonts w:ascii="宋体" w:hAnsi="宋体" w:eastAsia="宋体" w:cs="宋体"/>
                <w:b/>
                <w:bCs/>
                <w:color w:val="000000"/>
                <w:sz w:val="24"/>
                <w:szCs w:val="24"/>
                <w:highlight w:val="yellow"/>
                <w:lang w:val="en-US" w:bidi="zh-CN"/>
              </w:rPr>
            </w:r>
            <w:r/>
          </w:p>
        </w:tc>
        <w:tc>
          <w:tcPr>
            <w:tcW w:w="764" w:type="dxa"/>
            <w:vAlign w:val="center"/>
            <w:textDirection w:val="lrTb"/>
            <w:noWrap w:val="false"/>
          </w:tcPr>
          <w:p>
            <w:pPr>
              <w:pStyle w:val="651"/>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W w:w="751" w:type="dxa"/>
            <w:vAlign w:val="center"/>
            <w:textDirection w:val="lrTb"/>
            <w:noWrap w:val="false"/>
          </w:tcPr>
          <w:p>
            <w:pPr>
              <w:pStyle w:val="651"/>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651"/>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业绩</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51"/>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651"/>
              <w:ind w:left="0" w:firstLine="0"/>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sz w:val="24"/>
                <w:szCs w:val="24"/>
                <w:highlight w:val="none"/>
                <w:lang w:val="en-US" w:eastAsia="zh-CN" w:bidi="ar-SA"/>
              </w:rPr>
              <w:t xml:space="preserve">投标人提供2023年1月1日以来承</w:t>
            </w:r>
            <w:r>
              <w:rPr>
                <w:rFonts w:hint="eastAsia" w:ascii="宋体" w:hAnsi="宋体" w:eastAsia="宋体" w:cs="宋体"/>
                <w:sz w:val="24"/>
                <w:szCs w:val="24"/>
                <w:highlight w:val="none"/>
                <w:lang w:val="en-US" w:eastAsia="zh-CN" w:bidi="ar-SA"/>
              </w:rPr>
              <w:t xml:space="preserve">担过医院类似案例项目的，有1份得3分。本大项最高得15分。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b/>
                <w:bCs/>
                <w:sz w:val="24"/>
                <w:szCs w:val="24"/>
                <w:highlight w:val="yellow"/>
                <w:lang w:val="en-US" w:eastAsia="zh-CN" w:bidi="ar-SA"/>
              </w:rPr>
              <w:t xml:space="preserve">注：1.时间以合同签订时间为准，提供合同（扫描件或图片），材料不全或未提供不得分；</w:t>
            </w:r>
            <w:r>
              <w:rPr>
                <w:rFonts w:hint="eastAsia" w:ascii="宋体" w:hAnsi="宋体" w:eastAsia="宋体" w:cs="宋体"/>
                <w:b/>
                <w:bCs/>
                <w:sz w:val="24"/>
                <w:szCs w:val="24"/>
                <w:highlight w:val="yellow"/>
                <w:lang w:val="en-US" w:eastAsia="zh-CN" w:bidi="ar-SA"/>
              </w:rPr>
            </w:r>
            <w:r/>
          </w:p>
          <w:p>
            <w:pPr>
              <w:pStyle w:val="651"/>
              <w:numPr>
                <w:ilvl w:val="0"/>
                <w:numId w:val="0"/>
              </w:numPr>
              <w:ind w:firstLine="482"/>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b/>
                <w:bCs/>
                <w:sz w:val="24"/>
                <w:szCs w:val="24"/>
                <w:highlight w:val="yellow"/>
                <w:lang w:val="en-US" w:eastAsia="zh-CN" w:bidi="ar-SA"/>
              </w:rPr>
              <w:t xml:space="preserve">2.合同应能清晰载明包含业绩内容及签订时间；</w:t>
            </w:r>
            <w:r>
              <w:rPr>
                <w:rFonts w:hint="eastAsia" w:ascii="宋体" w:hAnsi="宋体" w:eastAsia="宋体" w:cs="宋体"/>
                <w:b/>
                <w:bCs/>
                <w:sz w:val="24"/>
                <w:szCs w:val="24"/>
                <w:highlight w:val="yellow"/>
                <w:lang w:val="en-US" w:eastAsia="zh-CN" w:bidi="ar-SA"/>
              </w:rPr>
            </w:r>
            <w:r/>
          </w:p>
          <w:p>
            <w:pPr>
              <w:pStyle w:val="651"/>
              <w:numPr>
                <w:ilvl w:val="0"/>
                <w:numId w:val="0"/>
              </w:numPr>
              <w:ind w:left="0" w:firstLine="482"/>
              <w:jc w:val="both"/>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sz w:val="24"/>
                <w:szCs w:val="24"/>
                <w:highlight w:val="yellow"/>
                <w:lang w:val="en-US" w:eastAsia="zh-CN" w:bidi="ar-SA"/>
              </w:rPr>
              <w:t xml:space="preserve">3.同一项目不同年度的业绩不重复计分。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651"/>
              <w:ind w:left="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751" w:type="dxa"/>
            <w:vAlign w:val="center"/>
            <w:textDirection w:val="lrTb"/>
            <w:noWrap w:val="false"/>
          </w:tcPr>
          <w:p>
            <w:pPr>
              <w:pStyle w:val="651"/>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651"/>
              <w:ind w:left="0"/>
              <w:jc w:val="center"/>
              <w:keepLines w:val="0"/>
              <w:keepNext w:val="0"/>
              <w:pageBreakBefore w:val="0"/>
              <w:spacing w:line="400" w:lineRule="exac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服务承诺</w:t>
            </w:r>
            <w:r>
              <w:rPr>
                <w:rFonts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51"/>
              <w:ind w:left="0"/>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bCs/>
                <w:color w:val="000000"/>
                <w:sz w:val="24"/>
                <w:szCs w:val="24"/>
                <w:lang w:val="en-US" w:eastAsia="zh-CN" w:bidi="ar-SA"/>
              </w:rPr>
            </w:r>
            <w:r/>
          </w:p>
        </w:tc>
        <w:tc>
          <w:tcPr>
            <w:tcW w:w="7112" w:type="dxa"/>
            <w:vAlign w:val="top"/>
            <w:textDirection w:val="lrTb"/>
            <w:noWrap w:val="false"/>
          </w:tcPr>
          <w:p>
            <w:pPr>
              <w:pStyle w:val="651"/>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投标人承诺安排数据工程师驻场提供服务</w:t>
            </w:r>
            <w:r>
              <w:rPr>
                <w:rFonts w:hint="eastAsia" w:ascii="宋体" w:hAnsi="宋体" w:eastAsia="宋体" w:cs="宋体"/>
                <w:color w:val="000000"/>
                <w:sz w:val="24"/>
                <w:szCs w:val="24"/>
                <w:highlight w:val="none"/>
                <w:lang w:val="en-US" w:eastAsia="zh-CN" w:bidi="ar-SA"/>
              </w:rPr>
              <w:t xml:space="preserve">的得5分。</w:t>
            </w:r>
            <w:r>
              <w:rPr>
                <w:rFonts w:hint="eastAsia" w:ascii="宋体" w:hAnsi="宋体" w:eastAsia="宋体" w:cs="宋体"/>
                <w:color w:val="000000"/>
                <w:sz w:val="24"/>
                <w:szCs w:val="24"/>
                <w:highlight w:val="none"/>
                <w:lang w:val="en-US" w:eastAsia="zh-CN" w:bidi="ar-SA"/>
              </w:rPr>
            </w:r>
            <w:r/>
          </w:p>
          <w:p>
            <w:pPr>
              <w:pStyle w:val="651"/>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bidi="ar-SA"/>
              </w:rPr>
              <w:t xml:space="preserve">注：提供加盖公章的承诺函，不提供则不得分。</w:t>
            </w:r>
            <w:r>
              <w:rPr>
                <w:rFonts w:hint="eastAsia" w:ascii="宋体" w:hAnsi="宋体" w:eastAsia="宋体" w:cs="宋体"/>
                <w:color w:val="000000"/>
                <w:sz w:val="24"/>
                <w:szCs w:val="24"/>
                <w:highlight w:val="none"/>
                <w:lang w:val="en-US" w:eastAsia="zh-CN" w:bidi="ar-SA"/>
              </w:rPr>
            </w:r>
            <w:r/>
          </w:p>
        </w:tc>
        <w:tc>
          <w:tcPr>
            <w:tcW w:w="764" w:type="dxa"/>
            <w:vAlign w:val="center"/>
            <w:textDirection w:val="lrTb"/>
            <w:noWrap w:val="false"/>
          </w:tcPr>
          <w:p>
            <w:pPr>
              <w:pStyle w:val="651"/>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gridSpan w:val="2"/>
            <w:tcW w:w="1905" w:type="dxa"/>
            <w:vAlign w:val="center"/>
            <w:textDirection w:val="lrTb"/>
            <w:noWrap w:val="false"/>
          </w:tcPr>
          <w:p>
            <w:pPr>
              <w:pStyle w:val="651"/>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651"/>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651"/>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51"/>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51"/>
        <w:jc w:val="center"/>
        <w:keepLines w:val="0"/>
        <w:keepNext w:val="0"/>
        <w:pageBreakBefore w:val="0"/>
        <w:spacing w:line="400" w:lineRule="exact"/>
        <w:widowControl w:val="off"/>
        <w:rPr>
          <w:rFonts w:hint="eastAsia" w:ascii="Times New Roman" w:hAnsi="Times New Roman" w:eastAsia="宋体" w:cs="Times New Roman"/>
          <w:b/>
          <w:sz w:val="36"/>
          <w:szCs w:val="36"/>
          <w:lang w:eastAsia="zh-CN"/>
        </w:rPr>
        <w:outlineLvl w:val="0"/>
      </w:pPr>
      <w:r>
        <w:rPr>
          <w:rFonts w:ascii="Times New Roman" w:hAnsi="Times New Roman" w:eastAsia="宋体" w:cs="Times New Roman"/>
          <w:b/>
          <w:sz w:val="36"/>
          <w:szCs w:val="36"/>
        </w:rPr>
        <w:t xml:space="preserve">第五章   采购需求</w:t>
      </w:r>
      <w:bookmarkEnd w:id="810"/>
      <w:r>
        <w:rPr>
          <w:rFonts w:hint="eastAsia" w:ascii="Times New Roman" w:hAnsi="Times New Roman" w:eastAsia="宋体" w:cs="Times New Roman"/>
          <w:b/>
          <w:sz w:val="36"/>
          <w:szCs w:val="36"/>
          <w:lang w:eastAsia="zh-CN"/>
        </w:rPr>
      </w:r>
      <w:r/>
    </w:p>
    <w:p>
      <w:pPr>
        <w:pStyle w:val="752"/>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：等级医院评审指标和重点专科指标管理服务项目；</w:t>
      </w:r>
      <w:r>
        <w:rPr>
          <w:rFonts w:hint="eastAsia" w:ascii="宋体" w:hAnsi="宋体" w:eastAsia="宋体" w:cs="宋体"/>
          <w:bCs/>
          <w:sz w:val="24"/>
          <w:szCs w:val="24"/>
          <w:lang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预算金额：180万元；</w:t>
      </w:r>
      <w:r>
        <w:rPr>
          <w:rFonts w:hint="eastAsia" w:ascii="宋体" w:hAnsi="宋体" w:eastAsia="宋体" w:cs="宋体"/>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Cs/>
          <w:sz w:val="24"/>
          <w:szCs w:val="24"/>
          <w:lang w:val="en-US" w:eastAsia="zh-CN"/>
        </w:rPr>
        <w:t xml:space="preserve">3. 最高限价：</w:t>
      </w:r>
      <w:r>
        <w:rPr>
          <w:rFonts w:hint="eastAsia" w:ascii="宋体" w:hAnsi="宋体" w:eastAsia="宋体" w:cs="宋体"/>
          <w:bCs/>
          <w:color w:val="0000ff"/>
          <w:sz w:val="24"/>
          <w:szCs w:val="24"/>
          <w:u w:val="single"/>
          <w:lang w:val="en-US" w:eastAsia="zh-CN"/>
        </w:rPr>
        <w:t xml:space="preserve">1800000元，</w:t>
      </w:r>
      <w:r>
        <w:rPr>
          <w:rFonts w:hint="eastAsia" w:ascii="宋体" w:hAnsi="宋体" w:eastAsia="宋体" w:cs="宋体"/>
          <w:sz w:val="24"/>
          <w:szCs w:val="24"/>
          <w:lang w:val="en-US" w:eastAsia="zh-CN"/>
        </w:rPr>
        <w:t xml:space="preserve">注：投标报价超过最高限价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bCs/>
          <w:sz w:val="24"/>
          <w:szCs w:val="24"/>
          <w:lang w:val="en-US" w:eastAsia="zh-CN"/>
        </w:rPr>
        <w:t xml:space="preserve">；</w:t>
      </w:r>
      <w:r>
        <w:rPr>
          <w:rFonts w:hint="eastAsia" w:ascii="宋体" w:hAnsi="宋体" w:eastAsia="宋体" w:cs="宋体"/>
          <w:b w:val="0"/>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 采购需求：详见“服务内容及要求”</w:t>
      </w:r>
      <w:r>
        <w:rPr>
          <w:rFonts w:hint="eastAsia" w:ascii="宋体" w:hAnsi="宋体" w:eastAsia="宋体" w:cs="宋体"/>
          <w:b w:val="0"/>
          <w:bCs/>
          <w:sz w:val="24"/>
          <w:szCs w:val="24"/>
          <w:u w:val="none"/>
          <w:lang w:val="en-US" w:eastAsia="zh-CN"/>
        </w:rPr>
        <w:t xml:space="preserve">。</w:t>
      </w:r>
      <w:r>
        <w:rPr>
          <w:rFonts w:hint="eastAsia" w:ascii="宋体" w:hAnsi="宋体" w:eastAsia="宋体" w:cs="宋体"/>
          <w:b w:val="0"/>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w:t>
      </w:r>
      <w:r>
        <w:rPr>
          <w:rFonts w:hint="eastAsia" w:ascii="宋体" w:hAnsi="宋体" w:eastAsia="宋体" w:cs="宋体"/>
          <w:b w:val="0"/>
          <w:bCs/>
          <w:sz w:val="24"/>
          <w:szCs w:val="24"/>
          <w:lang w:val="en-US" w:eastAsia="zh-CN"/>
        </w:rPr>
        <w:t xml:space="preserve">详见“商务要求”</w:t>
      </w:r>
      <w:r>
        <w:rPr>
          <w:rFonts w:hint="eastAsia" w:ascii="宋体" w:hAnsi="宋体" w:eastAsia="宋体" w:cs="宋体"/>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6．是/否接受联合体投标：否；</w:t>
      </w:r>
      <w:r>
        <w:rPr>
          <w:rFonts w:hint="eastAsia" w:ascii="宋体" w:hAnsi="宋体" w:eastAsia="宋体" w:cs="宋体"/>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8．是/否属于政府购买服务：详见</w:t>
      </w:r>
      <w:r>
        <w:rPr>
          <w:rFonts w:hint="eastAsia" w:ascii="宋体" w:hAnsi="宋体" w:eastAsia="宋体" w:cs="宋体"/>
          <w:bCs/>
          <w:sz w:val="24"/>
          <w:szCs w:val="24"/>
          <w:lang w:val="en-US" w:eastAsia="zh-CN"/>
        </w:rPr>
        <w:t xml:space="preserve">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51"/>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651"/>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11．项目类别：服务类。</w:t>
      </w:r>
      <w:r>
        <w:rPr>
          <w:rFonts w:hint="eastAsia" w:ascii="宋体" w:hAnsi="宋体" w:eastAsia="宋体" w:cs="宋体"/>
          <w:bCs/>
          <w:sz w:val="24"/>
          <w:szCs w:val="24"/>
          <w:lang w:val="en-US" w:eastAsia="zh-CN"/>
        </w:rPr>
      </w:r>
      <w:r/>
    </w:p>
    <w:p>
      <w:pPr>
        <w:pStyle w:val="752"/>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二、商务要求</w:t>
      </w:r>
      <w:r>
        <w:rPr>
          <w:rFonts w:hint="eastAsia" w:ascii="宋体" w:hAnsi="宋体" w:eastAsia="宋体" w:cs="宋体"/>
          <w:b/>
          <w:sz w:val="24"/>
          <w:szCs w:val="24"/>
        </w:rPr>
      </w:r>
      <w:r/>
    </w:p>
    <w:p>
      <w:pPr>
        <w:pStyle w:val="651"/>
        <w:contextualSpacing/>
        <w:ind w:left="0" w:firstLine="241"/>
        <w:keepLines w:val="0"/>
        <w:keepNext w:val="0"/>
        <w:pageBreakBefore w:val="0"/>
        <w:spacing w:beforeAutospacing="0" w:afterAutospacing="0" w:line="400" w:lineRule="exact"/>
        <w:widowControl w:val="off"/>
        <w:rPr>
          <w:rFonts w:hint="eastAsia" w:ascii="宋体" w:hAnsi="宋体" w:eastAsia="宋体" w:cs="宋体"/>
          <w:i/>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交付（实施）的时间（期限）和地点（范围）</w:t>
      </w:r>
      <w:r>
        <w:rPr>
          <w:rFonts w:hint="eastAsia" w:ascii="宋体" w:hAnsi="宋体" w:eastAsia="宋体" w:cs="宋体"/>
          <w:i/>
          <w:color w:val="000000"/>
          <w:sz w:val="24"/>
          <w:szCs w:val="24"/>
        </w:rPr>
      </w:r>
      <w:r/>
    </w:p>
    <w:p>
      <w:pPr>
        <w:pStyle w:val="651"/>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合同履行期限：</w:t>
      </w:r>
      <w:r>
        <w:rPr>
          <w:rFonts w:hint="eastAsia" w:ascii="宋体" w:hAnsi="宋体" w:eastAsia="宋体" w:cs="宋体"/>
          <w:bCs/>
          <w:color w:val="0000ff"/>
          <w:sz w:val="24"/>
          <w:szCs w:val="24"/>
          <w:highlight w:val="none"/>
          <w:u w:val="single"/>
          <w:lang w:val="en-US" w:eastAsia="zh-CN"/>
        </w:rPr>
        <w:t xml:space="preserve">自合同签订之日起至2027年6月30日前，实现初步评审条件；整体项目需在2027年12月31日前完成交付。</w:t>
      </w:r>
      <w:r>
        <w:rPr>
          <w:rFonts w:hint="eastAsia" w:ascii="宋体" w:hAnsi="宋体" w:eastAsia="宋体" w:cs="宋体"/>
          <w:bCs/>
          <w:color w:val="000000"/>
          <w:sz w:val="24"/>
          <w:szCs w:val="24"/>
          <w:lang w:val="en-US" w:eastAsia="zh-CN"/>
        </w:rPr>
      </w:r>
      <w:r/>
    </w:p>
    <w:p>
      <w:pPr>
        <w:pStyle w:val="651"/>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 xml:space="preserve">服务地</w:t>
      </w:r>
      <w:r>
        <w:rPr>
          <w:rFonts w:hint="eastAsia" w:ascii="宋体" w:hAnsi="宋体" w:eastAsia="宋体" w:cs="宋体"/>
          <w:bCs/>
          <w:color w:val="000000"/>
          <w:sz w:val="24"/>
          <w:szCs w:val="24"/>
          <w:highlight w:val="none"/>
          <w:lang w:val="en-US" w:eastAsia="zh-CN"/>
        </w:rPr>
        <w:t xml:space="preserve">点：</w:t>
      </w:r>
      <w:r>
        <w:rPr>
          <w:rFonts w:hint="eastAsia" w:ascii="宋体" w:hAnsi="宋体" w:eastAsia="宋体" w:cs="宋体"/>
          <w:bCs/>
          <w:color w:val="000000"/>
          <w:sz w:val="24"/>
          <w:szCs w:val="24"/>
          <w:highlight w:val="none"/>
          <w:u w:val="single"/>
          <w:lang w:val="en-US" w:eastAsia="zh-CN"/>
        </w:rPr>
        <w:t xml:space="preserve">常州市金坛第一人民医院。</w:t>
      </w:r>
      <w:r>
        <w:rPr>
          <w:rFonts w:hint="eastAsia" w:ascii="宋体" w:hAnsi="宋体" w:eastAsia="宋体" w:cs="宋体"/>
          <w:bCs/>
          <w:color w:val="000000"/>
          <w:sz w:val="24"/>
          <w:szCs w:val="24"/>
          <w:highlight w:val="none"/>
        </w:rPr>
      </w:r>
      <w:r/>
    </w:p>
    <w:p>
      <w:pPr>
        <w:pStyle w:val="651"/>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付款条件（进度和方式）</w:t>
      </w:r>
      <w:r>
        <w:rPr>
          <w:rFonts w:hint="eastAsia" w:ascii="宋体" w:hAnsi="宋体" w:eastAsia="宋体" w:cs="宋体"/>
          <w:b/>
          <w:bCs/>
          <w:color w:val="000000"/>
          <w:sz w:val="24"/>
          <w:szCs w:val="24"/>
          <w:highlight w:val="none"/>
        </w:rPr>
      </w:r>
      <w:r/>
    </w:p>
    <w:p>
      <w:pPr>
        <w:pStyle w:val="651"/>
        <w:contextualSpacing/>
        <w:ind w:left="0" w:firstLine="480"/>
        <w:keepLines w:val="0"/>
        <w:keepNext w:val="0"/>
        <w:pageBreakBefore w:val="0"/>
        <w:spacing w:beforeAutospacing="0" w:afterAutospacing="0" w:line="400" w:lineRule="exact"/>
        <w:widowControl w:val="off"/>
        <w:rPr>
          <w:rFonts w:hint="eastAsia" w:ascii="宋体" w:hAnsi="宋体" w:eastAsia="宋体" w:cs="宋体"/>
          <w:highlight w:val="none"/>
          <w:lang w:eastAsia="zh-CN"/>
        </w:rPr>
      </w:pPr>
      <w:r/>
      <w:bookmarkStart w:id="811" w:name="_Toc99301425"/>
      <w:r>
        <w:rPr>
          <w:rFonts w:hint="eastAsia" w:ascii="宋体" w:hAnsi="宋体" w:eastAsia="宋体" w:cs="宋体"/>
          <w:b w:val="0"/>
          <w:bCs/>
          <w:color w:val="0000ff"/>
          <w:sz w:val="24"/>
          <w:szCs w:val="24"/>
          <w:highlight w:val="none"/>
          <w:lang w:val="en-US" w:eastAsia="zh-CN"/>
        </w:rPr>
        <w:t xml:space="preserve">1）项目实现初步评审条件，经采购人验收合格并签署《阶段验收确认单》后15个工作日内，采购人向</w:t>
      </w:r>
      <w:r>
        <w:rPr>
          <w:rFonts w:hint="eastAsia" w:ascii="宋体" w:hAnsi="宋体" w:eastAsia="宋体" w:cs="宋体"/>
          <w:b w:val="0"/>
          <w:bCs/>
          <w:color w:val="0000ff"/>
          <w:sz w:val="24"/>
          <w:szCs w:val="24"/>
          <w:highlight w:val="none"/>
          <w:lang w:val="en-US" w:eastAsia="zh-CN"/>
        </w:rPr>
        <w:t xml:space="preserve">中标人</w:t>
      </w:r>
      <w:r>
        <w:rPr>
          <w:rFonts w:hint="eastAsia" w:ascii="宋体" w:hAnsi="宋体" w:eastAsia="宋体" w:cs="宋体"/>
          <w:b w:val="0"/>
          <w:bCs/>
          <w:color w:val="0000ff"/>
          <w:sz w:val="24"/>
          <w:szCs w:val="24"/>
          <w:highlight w:val="none"/>
          <w:lang w:val="en-US" w:eastAsia="zh-CN"/>
        </w:rPr>
        <w:t xml:space="preserve">支付合同总金额的80%。</w:t>
      </w:r>
      <w:r>
        <w:rPr>
          <w:rFonts w:hint="eastAsia" w:ascii="宋体" w:hAnsi="宋体" w:eastAsia="宋体" w:cs="宋体"/>
          <w:highlight w:val="none"/>
          <w:lang w:eastAsia="zh-CN"/>
        </w:rPr>
      </w:r>
      <w:r/>
    </w:p>
    <w:p>
      <w:pPr>
        <w:pStyle w:val="651"/>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2）整体项目完成交付，且</w:t>
      </w:r>
      <w:r>
        <w:rPr>
          <w:rFonts w:hint="eastAsia" w:ascii="宋体" w:hAnsi="宋体" w:eastAsia="宋体" w:cs="宋体"/>
          <w:b w:val="0"/>
          <w:bCs/>
          <w:color w:val="0000ff"/>
          <w:sz w:val="24"/>
          <w:szCs w:val="24"/>
          <w:highlight w:val="none"/>
          <w:lang w:val="en-US" w:eastAsia="zh-CN"/>
        </w:rPr>
        <w:t xml:space="preserve">采购人</w:t>
      </w:r>
      <w:r>
        <w:rPr>
          <w:rFonts w:hint="eastAsia" w:ascii="宋体" w:hAnsi="宋体" w:eastAsia="宋体" w:cs="宋体"/>
          <w:b w:val="0"/>
          <w:bCs/>
          <w:color w:val="0000ff"/>
          <w:sz w:val="24"/>
          <w:szCs w:val="24"/>
          <w:highlight w:val="none"/>
          <w:lang w:val="en-US" w:eastAsia="zh-CN"/>
        </w:rPr>
        <w:t xml:space="preserve">顺利通过等级医院评审/重点专科评审（以官方评审结果公示为凭证），经</w:t>
      </w:r>
      <w:r>
        <w:rPr>
          <w:rFonts w:hint="eastAsia" w:ascii="宋体" w:hAnsi="宋体" w:eastAsia="宋体" w:cs="宋体"/>
          <w:b w:val="0"/>
          <w:bCs/>
          <w:color w:val="0000ff"/>
          <w:sz w:val="24"/>
          <w:szCs w:val="24"/>
          <w:highlight w:val="none"/>
          <w:lang w:val="en-US" w:eastAsia="zh-CN"/>
        </w:rPr>
        <w:t xml:space="preserve">采购人</w:t>
      </w:r>
      <w:r>
        <w:rPr>
          <w:rFonts w:hint="eastAsia" w:ascii="宋体" w:hAnsi="宋体" w:eastAsia="宋体" w:cs="宋体"/>
          <w:b w:val="0"/>
          <w:bCs/>
          <w:color w:val="0000ff"/>
          <w:sz w:val="24"/>
          <w:szCs w:val="24"/>
          <w:highlight w:val="none"/>
          <w:lang w:val="en-US" w:eastAsia="zh-CN"/>
        </w:rPr>
        <w:t xml:space="preserve">最终验收合格并签署《项目终验报告》后15个工作日内，</w:t>
      </w:r>
      <w:r>
        <w:rPr>
          <w:rFonts w:hint="eastAsia" w:ascii="宋体" w:hAnsi="宋体" w:eastAsia="宋体" w:cs="宋体"/>
          <w:b w:val="0"/>
          <w:bCs/>
          <w:color w:val="0000ff"/>
          <w:sz w:val="24"/>
          <w:szCs w:val="24"/>
          <w:highlight w:val="none"/>
          <w:lang w:val="en-US" w:eastAsia="zh-CN"/>
        </w:rPr>
        <w:t xml:space="preserve">采购人</w:t>
      </w:r>
      <w:r>
        <w:rPr>
          <w:rFonts w:hint="eastAsia" w:ascii="宋体" w:hAnsi="宋体" w:eastAsia="宋体" w:cs="宋体"/>
          <w:b w:val="0"/>
          <w:bCs/>
          <w:color w:val="0000ff"/>
          <w:sz w:val="24"/>
          <w:szCs w:val="24"/>
          <w:highlight w:val="none"/>
          <w:lang w:val="en-US" w:eastAsia="zh-CN"/>
        </w:rPr>
        <w:t xml:space="preserve">向中标人支付剩余合同款项</w:t>
      </w:r>
      <w:r>
        <w:rPr>
          <w:rFonts w:hint="eastAsia" w:ascii="宋体" w:hAnsi="宋体" w:eastAsia="宋体" w:cs="宋体"/>
          <w:b w:val="0"/>
          <w:bCs/>
          <w:color w:val="0000ff"/>
          <w:sz w:val="24"/>
          <w:szCs w:val="24"/>
          <w:highlight w:val="none"/>
          <w:lang w:val="en-US" w:eastAsia="zh-CN"/>
        </w:rPr>
        <w:t xml:space="preserve">。</w:t>
      </w:r>
      <w:r>
        <w:rPr>
          <w:rFonts w:hint="eastAsia" w:ascii="宋体" w:hAnsi="宋体" w:eastAsia="宋体" w:cs="宋体"/>
          <w:b w:val="0"/>
          <w:bCs/>
          <w:color w:val="0000ff"/>
          <w:sz w:val="24"/>
          <w:szCs w:val="24"/>
          <w:highlight w:val="none"/>
          <w:lang w:val="en-US" w:eastAsia="zh-CN"/>
        </w:rPr>
      </w:r>
      <w:r/>
    </w:p>
    <w:p>
      <w:pPr>
        <w:pStyle w:val="651"/>
        <w:contextualSpacing/>
        <w:ind w:firstLine="24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注：1.付款前，中标人需向采购人提供等额的普通发票。</w:t>
      </w:r>
      <w:r>
        <w:rPr>
          <w:rFonts w:hint="eastAsia" w:ascii="宋体" w:hAnsi="宋体" w:eastAsia="宋体" w:cs="宋体"/>
          <w:b w:val="0"/>
          <w:bCs/>
          <w:color w:val="0000ff"/>
          <w:sz w:val="24"/>
          <w:szCs w:val="24"/>
          <w:highlight w:val="none"/>
          <w:lang w:val="en-US" w:eastAsia="zh-CN"/>
        </w:rPr>
      </w:r>
      <w:r/>
    </w:p>
    <w:p>
      <w:pPr>
        <w:pStyle w:val="651"/>
        <w:contextualSpacing/>
        <w:ind w:firstLine="72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yellow"/>
          <w:lang w:val="en-US" w:eastAsia="zh-CN"/>
        </w:rPr>
      </w:pPr>
      <w:r>
        <w:rPr>
          <w:rFonts w:hint="eastAsia" w:ascii="宋体" w:hAnsi="宋体" w:eastAsia="宋体" w:cs="宋体"/>
          <w:b w:val="0"/>
          <w:bCs/>
          <w:color w:val="0000ff"/>
          <w:sz w:val="24"/>
          <w:szCs w:val="24"/>
          <w:highlight w:val="none"/>
          <w:lang w:val="en-US" w:eastAsia="zh-CN"/>
        </w:rPr>
        <w:t xml:space="preserve">2.考核扣款在同期服务费中扣除（具体详见合同附件1）。</w:t>
      </w:r>
      <w:r>
        <w:rPr>
          <w:rFonts w:hint="eastAsia" w:ascii="宋体" w:hAnsi="宋体" w:eastAsia="宋体" w:cs="宋体"/>
          <w:b w:val="0"/>
          <w:bCs/>
          <w:color w:val="0000ff"/>
          <w:sz w:val="24"/>
          <w:szCs w:val="24"/>
          <w:highlight w:val="yellow"/>
          <w:lang w:val="en-US" w:eastAsia="zh-CN"/>
        </w:rPr>
      </w:r>
      <w:r/>
    </w:p>
    <w:p>
      <w:pPr>
        <w:pStyle w:val="752"/>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★三、服务内容及要求 </w:t>
      </w:r>
      <w:r>
        <w:rPr>
          <w:rFonts w:hint="eastAsia" w:ascii="宋体" w:hAnsi="宋体" w:eastAsia="宋体" w:cs="宋体"/>
          <w:b/>
          <w:sz w:val="24"/>
          <w:szCs w:val="24"/>
          <w:lang w:val="en-US" w:eastAsia="zh-CN"/>
        </w:rPr>
      </w:r>
      <w:r/>
    </w:p>
    <w:p>
      <w:pPr>
        <w:pStyle w:val="752"/>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（一）项目清单</w:t>
      </w:r>
      <w:r>
        <w:rPr>
          <w:rFonts w:hint="eastAsia" w:ascii="宋体" w:hAnsi="宋体" w:eastAsia="宋体" w:cs="宋体"/>
          <w:b/>
          <w:bCs/>
          <w:sz w:val="24"/>
          <w:szCs w:val="24"/>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604"/>
        <w:gridCol w:w="7759"/>
      </w:tblGrid>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gridSpan w:val="2"/>
            <w:tcW w:w="936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服务</w:t>
            </w:r>
            <w:r>
              <w:rPr>
                <w:rFonts w:hint="eastAsia" w:ascii="宋体" w:hAnsi="宋体" w:eastAsia="宋体" w:cs="宋体"/>
                <w:b/>
                <w:bCs/>
                <w:color w:val="000000"/>
                <w:sz w:val="24"/>
                <w:szCs w:val="24"/>
                <w:lang w:bidi="ar"/>
              </w:rPr>
              <w:t xml:space="preserve">内容</w:t>
            </w:r>
            <w:r>
              <w:rPr>
                <w:rFonts w:hint="eastAsia" w:ascii="宋体" w:hAnsi="宋体" w:eastAsia="宋体" w:cs="宋体"/>
                <w:b/>
                <w:bCs/>
                <w:color w:val="000000"/>
                <w:sz w:val="24"/>
                <w:szCs w:val="24"/>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w:t>
            </w:r>
            <w:r>
              <w:rPr>
                <w:rFonts w:hint="eastAsia" w:ascii="宋体" w:hAnsi="宋体" w:eastAsia="宋体" w:cs="宋体"/>
                <w:b w:val="0"/>
                <w:bCs w:val="0"/>
                <w:color w:val="000000"/>
                <w:sz w:val="24"/>
                <w:szCs w:val="24"/>
                <w:lang w:val="en-US" w:eastAsia="zh-CN" w:bidi="ar"/>
              </w:rPr>
            </w:r>
            <w:r/>
          </w:p>
        </w:tc>
        <w:tc>
          <w:tcPr>
            <w:tcW w:w="805" w:type="dxa"/>
            <w:vAlign w:val="center"/>
            <w:vMerge w:val="restart"/>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医院等级评审指标服务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指标信息配置服务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指标数据采集服务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3</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指标数据可视化</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指标数据预警提醒</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5</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数据问题排查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月度分析报告</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7</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协同整改服务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8</w:t>
            </w:r>
            <w:r>
              <w:rPr>
                <w:rFonts w:hint="eastAsia" w:ascii="宋体" w:hAnsi="宋体" w:eastAsia="宋体" w:cs="宋体"/>
                <w:b w:val="0"/>
                <w:bCs w:val="0"/>
                <w:color w:val="000000"/>
                <w:sz w:val="24"/>
                <w:szCs w:val="24"/>
                <w:lang w:val="en-US" w:eastAsia="zh-CN" w:bidi="ar"/>
              </w:rPr>
            </w:r>
            <w:r/>
          </w:p>
        </w:tc>
        <w:tc>
          <w:tcPr>
            <w:tcW w:w="805" w:type="dxa"/>
            <w:vAlign w:val="center"/>
            <w:vMerge w:val="restart"/>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医院专业（专科）类指标服务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指标信息配置服务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9</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指标数据采集服务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10</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指标数据可视化</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11</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指标数据预警提醒</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12</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数据问题排查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13</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月度分析报告</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14</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协同整改服务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15</w:t>
            </w:r>
            <w:r>
              <w:rPr>
                <w:rFonts w:hint="eastAsia" w:ascii="宋体" w:hAnsi="宋体" w:eastAsia="宋体" w:cs="宋体"/>
                <w:b w:val="0"/>
                <w:bCs w:val="0"/>
                <w:color w:val="000000"/>
                <w:sz w:val="24"/>
                <w:szCs w:val="24"/>
                <w:lang w:val="en-US" w:eastAsia="zh-CN" w:bidi="ar"/>
              </w:rPr>
            </w:r>
            <w:r/>
          </w:p>
        </w:tc>
        <w:tc>
          <w:tcPr>
            <w:tcW w:w="805" w:type="dxa"/>
            <w:vAlign w:val="center"/>
            <w:vMerge w:val="restart"/>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统一数据上报服务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江苏省全民健康信息平台上报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16</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江苏省全民健康信息平台上报指标建设服务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17</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常州市卫生信息平台上报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18</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HQMS（国家医院质量监测系统）上报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19</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国家抗肿瘤药物临床应用监测网上报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20</w:t>
            </w:r>
            <w:r>
              <w:rPr>
                <w:rFonts w:hint="eastAsia" w:ascii="宋体" w:hAnsi="宋体" w:eastAsia="宋体" w:cs="宋体"/>
                <w:b w:val="0"/>
                <w:bCs w:val="0"/>
                <w:color w:val="000000"/>
                <w:sz w:val="24"/>
                <w:szCs w:val="24"/>
                <w:lang w:val="en-US" w:eastAsia="zh-CN" w:bidi="ar"/>
              </w:rPr>
            </w:r>
            <w:r/>
          </w:p>
        </w:tc>
        <w:tc>
          <w:tcPr>
            <w:tcW w:w="80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驻场服务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驻场服务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651"/>
              <w:jc w:val="center"/>
              <w:keepLines w:val="0"/>
              <w:keepNext w:val="0"/>
              <w:pageBreakBefore w:val="0"/>
              <w:spacing w:line="400" w:lineRule="exact"/>
              <w:widowControl/>
              <w:rPr>
                <w:rFonts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21</w:t>
            </w:r>
            <w:r>
              <w:rPr>
                <w:rFonts w:ascii="宋体" w:hAnsi="宋体" w:eastAsia="宋体" w:cs="宋体"/>
                <w:b w:val="0"/>
                <w:bCs w:val="0"/>
                <w:color w:val="000000"/>
                <w:sz w:val="24"/>
                <w:szCs w:val="24"/>
                <w:lang w:val="en-US" w:eastAsia="zh-CN" w:bidi="ar"/>
              </w:rPr>
            </w:r>
            <w:r/>
          </w:p>
        </w:tc>
        <w:tc>
          <w:tcPr>
            <w:tcW w:w="805" w:type="dxa"/>
            <w:vAlign w:val="top"/>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院内业务系统配合改造</w:t>
            </w:r>
            <w:r>
              <w:rPr>
                <w:rFonts w:hint="eastAsia" w:ascii="宋体" w:hAnsi="宋体" w:eastAsia="宋体" w:cs="宋体"/>
                <w:b w:val="0"/>
                <w:bCs w:val="0"/>
                <w:i w:val="0"/>
                <w:iCs w:val="0"/>
                <w:color w:val="000000"/>
                <w:sz w:val="24"/>
                <w:szCs w:val="24"/>
                <w:u w:val="none"/>
                <w:lang w:val="en-US" w:eastAsia="zh-CN" w:bidi="ar"/>
              </w:rPr>
            </w:r>
            <w:r/>
          </w:p>
        </w:tc>
        <w:tc>
          <w:tcPr>
            <w:tcW w:w="3892" w:type="dxa"/>
            <w:vAlign w:val="top"/>
            <w:textDirection w:val="lrTb"/>
            <w:noWrap/>
          </w:tcPr>
          <w:p>
            <w:pPr>
              <w:pStyle w:val="651"/>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HIS系统、CIS医生站、护士站、移动管理护理系统、心电系统、手麻系统、病理系统、LIS系统、RIS系统、急诊系统、重症系统、血透系统等系统</w:t>
            </w:r>
            <w:r>
              <w:rPr>
                <w:rFonts w:hint="eastAsia" w:ascii="宋体" w:hAnsi="宋体" w:eastAsia="宋体" w:cs="宋体"/>
                <w:b w:val="0"/>
                <w:bCs w:val="0"/>
                <w:i w:val="0"/>
                <w:iCs w:val="0"/>
                <w:color w:val="000000"/>
                <w:sz w:val="24"/>
                <w:szCs w:val="24"/>
                <w:u w:val="none"/>
                <w:lang w:val="en-US" w:eastAsia="zh-CN" w:bidi="ar"/>
              </w:rPr>
            </w:r>
            <w:r/>
          </w:p>
        </w:tc>
      </w:tr>
    </w:tbl>
    <w:p>
      <w:pPr>
        <w:pStyle w:val="752"/>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（二）服务要求</w:t>
      </w:r>
      <w:r>
        <w:rPr>
          <w:rFonts w:hint="eastAsia" w:ascii="宋体" w:hAnsi="宋体" w:eastAsia="宋体" w:cs="宋体"/>
          <w:b/>
          <w:bCs/>
          <w:sz w:val="24"/>
          <w:szCs w:val="24"/>
          <w:lang w:val="en-US" w:eastAsia="zh-CN"/>
        </w:rPr>
      </w:r>
      <w:r/>
    </w:p>
    <w:p>
      <w:pPr>
        <w:pStyle w:val="651"/>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1、医院等级评审指标服务需求</w:t>
      </w:r>
      <w:r>
        <w:rPr>
          <w:rFonts w:hint="eastAsia" w:ascii="宋体" w:hAnsi="宋体" w:eastAsia="宋体" w:cs="宋体"/>
          <w:b/>
          <w:bCs/>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本指标管理服务要求供应商聚焦医院在医院等级评审指标建设中面临的数据异常、成绩差异等问题，通过专业、深入的服务，助力医院精准定位问题，优化管理策略，提升整体成绩与竞争力。</w:t>
      </w:r>
      <w:r>
        <w:rPr>
          <w:rFonts w:hint="eastAsia" w:ascii="宋体" w:hAnsi="宋体" w:eastAsia="宋体" w:cs="宋体"/>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要求供应商围绕医院等级评审第二部分医疗服务能力与质量安全监测数据部分内容，科学配置指标体系，具体指标内容参考《江苏省三级综合医院评审标准实施细则（2023版）》及《三级医院评审标准（2025年版）》，若后续标准有变动，根据最新标准进行调整。</w:t>
      </w:r>
      <w:r>
        <w:rPr>
          <w:rFonts w:hint="eastAsia" w:ascii="宋体" w:hAnsi="宋体" w:eastAsia="宋体" w:cs="宋体"/>
          <w:sz w:val="24"/>
          <w:szCs w:val="24"/>
          <w:lang w:val="en-US" w:eastAsia="zh-CN"/>
        </w:rPr>
      </w:r>
      <w:r/>
    </w:p>
    <w:p>
      <w:pPr>
        <w:pStyle w:val="651"/>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目前《江苏省三级综合医院评审标准实施细则（2023版）》第二部分医疗服务能力与质量安全监测数据部分构建等评数据主题库，包含5章类411个，具体如下：</w:t>
      </w:r>
      <w:r>
        <w:rPr>
          <w:rFonts w:hint="eastAsia" w:ascii="宋体" w:hAnsi="宋体" w:eastAsia="宋体" w:cs="宋体"/>
          <w:b/>
          <w:bCs/>
          <w:sz w:val="24"/>
          <w:szCs w:val="24"/>
          <w:lang w:val="en-US" w:eastAsia="zh-CN"/>
        </w:rPr>
        <w:t xml:space="preserve">（1）第一章资源配置与运行数据指标共70个指标，如下：</w:t>
      </w:r>
      <w:r>
        <w:rPr>
          <w:rFonts w:hint="eastAsia" w:ascii="宋体" w:hAnsi="宋体" w:eastAsia="宋体" w:cs="宋体"/>
          <w:b/>
          <w:bCs/>
          <w:sz w:val="24"/>
          <w:szCs w:val="24"/>
          <w:lang w:val="en-US" w:eastAsia="zh-CN"/>
        </w:rPr>
      </w:r>
      <w:r/>
    </w:p>
    <w:tbl>
      <w:tblPr>
        <w:tblStyle w:val="72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4065"/>
        <w:gridCol w:w="4887"/>
      </w:tblGrid>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65"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rPr>
                <w:rFonts w:hint="eastAsia" w:ascii="宋体" w:hAnsi="宋体" w:eastAsia="宋体" w:cs="宋体"/>
                <w:b/>
                <w:bCs/>
                <w:color w:val="000000"/>
                <w:sz w:val="24"/>
                <w:szCs w:val="24"/>
              </w:rPr>
            </w:r>
            <w:r/>
          </w:p>
        </w:tc>
        <w:tc>
          <w:tcPr>
            <w:tcW w:w="488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rPr>
                <w:rFonts w:hint="eastAsia" w:ascii="宋体" w:hAnsi="宋体" w:eastAsia="宋体" w:cs="宋体"/>
                <w:b/>
                <w:bCs/>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核定床位数</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核定床位数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实际开放床位数</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实际开放床位数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平均床位使用率</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平均床位使用率</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卫生技术人员数与开放床位数比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全院护士人数与开放床位数比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全院护士人数与开放床位数比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全院病区护士人数与开放床位数比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全院病区护士人数与开放床位数比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医院感染管理专职人员数与开放床位数比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医院感染管理专职人员数与开放床位数比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卫生技术人员结构</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麻醉、儿科、重症、病理、中医医师占比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从事公共卫生工作的专职人员数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医护比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卫生技术人员职称结构</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卫生技术人员人数占全院总人数的比例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医师与实际开放床位的比例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临床科室科主任高级职称比例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医技科室科主任高级职称比例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硕士及以上医师比例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药学专业技术人员数与卫生专业技术人员数比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药学专业技术人员数与卫生专业技术人员数比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每百张病床药师人数</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急诊医学科</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固定急诊医师人数占急诊在岗医师人数的比例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固定急诊护士人数占急诊在岗护士人数的比例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急诊医学科开放床位数</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重症医学科开放床位数占医院开放床位数的比例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重症医学科医师人数与重症医学科开放床位数比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重症医学科护士人数与重症医学科开放床位数比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麻醉科医师数与手术间数比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麻醉科医师数与日均全麻手术台次比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麻醉科医师和手术科室医师比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手术室护士与手术床（台）比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手术间麻醉护士与实际开放手术台的数量比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麻醉后恢复室护士与实际开放恢复室床位比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中医科开放床位数占医院开放床位数的比例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中医科中医类别医师人数与中医科开放床位数比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中医科护士人数与中医科开放床位数比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康复医学科</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康复科开放床位数占医院开放床位数的比例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康复科医师人数与康复科开放床位数比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康复科康复师人数与康复科开放床位数比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康复科护士人数与康复科开放床位数比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感染性疾病科</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固定医师人数占感染性疾病科在岗医师人数的比例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固定护士人数占感染性疾病科在岗护士人数的比例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感染性疾病科开放床位数占医院开放床位数的比例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可转换感染性疾病床位数占医院开放床位数的比例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相关手术科室年手术人次占其出院人次比例</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出院患者手术占比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出院患者微创手术占比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出院患者四级手术比例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日间手术占择期手术比例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危重患者占比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危重患者占出院人次比例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疑难患者占比</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疑难患者占出院人次比例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工作负荷</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每名执业医师日均住院工作负担</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每名医师日均门诊服务量</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服务效率</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出院患者平均住院天数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门诊患者平均预约诊疗率</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门诊患者预约后平均等待时间</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每百名卫生技术人员科研成果转化金额</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每百名卫生技术人员科研成果转化金额</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tcW w:w="4065"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取得临床相关国家发明专利数量</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每百名卫生技术人员获国家发明专利数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省级及以上科研项目数量或省级及以上医学科技奖励</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省卫生健康委医学新技术引进奖</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市、厅级及以上科研课题</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省政府及以上科技进步奖</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人才培养</w:t>
            </w: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医院住院医师首次参加医师资格考试通过率</w:t>
            </w:r>
            <w:r>
              <w:rPr>
                <w:rFonts w:hint="eastAsia" w:ascii="宋体" w:hAnsi="宋体" w:eastAsia="宋体" w:cs="宋体"/>
                <w:color w:val="000000"/>
                <w:sz w:val="24"/>
                <w:szCs w:val="24"/>
              </w:rPr>
            </w:r>
            <w:r/>
          </w:p>
        </w:tc>
      </w:tr>
      <w:tr>
        <w:trPr>
          <w:trHeight w:val="668"/>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医院接受其他医院（尤其是对口支援医院、医联体内医院）进修并返回原医院独立工作人数占比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医院承担培养医学人才的工作成效</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承担继续医学教育项目数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40岁以下青年人才入选比例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人才工作专项经费占比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学科建设（近三年）</w:t>
            </w: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否为住院医师规范化培训基地医院</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国家级临床重点专科和医学重点学科数（个）</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省级临床重点专科和重点学科数（个）</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国家医疗器械和药物临床试验机构（专业）数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患者满意度</w:t>
            </w: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门诊患者满意度</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住院患者满意度</w:t>
            </w:r>
            <w:r>
              <w:rPr>
                <w:rFonts w:hint="eastAsia" w:ascii="宋体" w:hAnsi="宋体" w:eastAsia="宋体" w:cs="宋体"/>
                <w:color w:val="000000"/>
                <w:sz w:val="24"/>
                <w:szCs w:val="24"/>
              </w:rPr>
            </w:r>
            <w:r/>
          </w:p>
        </w:tc>
      </w:tr>
      <w:tr>
        <w:trPr>
          <w:trHeight w:val="241"/>
        </w:trPr>
        <w:tc>
          <w:tcPr>
            <w:tcW w:w="947"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tcW w:w="4065"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医务人员满意度</w:t>
            </w:r>
            <w:r>
              <w:rPr>
                <w:rFonts w:hint="eastAsia" w:ascii="宋体" w:hAnsi="宋体" w:eastAsia="宋体" w:cs="宋体"/>
                <w:color w:val="000000"/>
                <w:sz w:val="24"/>
                <w:szCs w:val="24"/>
              </w:rPr>
            </w:r>
            <w:r/>
          </w:p>
        </w:tc>
        <w:tc>
          <w:tcPr>
            <w:tcW w:w="488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医务人员满意度</w:t>
            </w:r>
            <w:r>
              <w:rPr>
                <w:rFonts w:hint="eastAsia" w:ascii="宋体" w:hAnsi="宋体" w:eastAsia="宋体" w:cs="宋体"/>
                <w:color w:val="000000"/>
                <w:sz w:val="24"/>
                <w:szCs w:val="24"/>
              </w:rPr>
            </w:r>
            <w:r/>
          </w:p>
        </w:tc>
      </w:tr>
    </w:tbl>
    <w:p>
      <w:pPr>
        <w:pStyle w:val="651"/>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（2）第二章医疗服务能力与医院质量安全指标共31个指标，如下：</w:t>
      </w:r>
      <w:r>
        <w:rPr>
          <w:rFonts w:hint="eastAsia" w:ascii="宋体" w:hAnsi="宋体" w:eastAsia="宋体" w:cs="宋体"/>
          <w:b/>
          <w:bCs/>
          <w:sz w:val="24"/>
          <w:szCs w:val="24"/>
          <w:lang w:val="en-US" w:eastAsia="zh-CN"/>
        </w:rPr>
      </w:r>
      <w:r/>
    </w:p>
    <w:tbl>
      <w:tblPr>
        <w:tblStyle w:val="722"/>
        <w:tblW w:w="99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4050"/>
        <w:gridCol w:w="4890"/>
      </w:tblGrid>
      <w:tr>
        <w:trPr>
          <w:trHeight w:val="496"/>
        </w:trPr>
        <w:tc>
          <w:tcPr>
            <w:tcW w:w="962" w:type="dxa"/>
            <w:vAlign w:val="center"/>
            <w:textDirection w:val="lrTb"/>
            <w:noWrap w:val="false"/>
          </w:tcPr>
          <w:p>
            <w:pPr>
              <w:pStyle w:val="651"/>
              <w:ind w:left="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050" w:type="dxa"/>
            <w:vAlign w:val="center"/>
            <w:textDirection w:val="lrTb"/>
            <w:noWrap w:val="false"/>
          </w:tcPr>
          <w:p>
            <w:pPr>
              <w:pStyle w:val="651"/>
              <w:ind w:left="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4890" w:type="dxa"/>
            <w:vAlign w:val="center"/>
            <w:textDirection w:val="lrTb"/>
            <w:noWrap w:val="false"/>
          </w:tcPr>
          <w:p>
            <w:pPr>
              <w:pStyle w:val="651"/>
              <w:ind w:left="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指标</w:t>
            </w:r>
            <w:r>
              <w:rPr>
                <w:rFonts w:hint="eastAsia" w:ascii="宋体" w:hAnsi="宋体" w:eastAsia="宋体" w:cs="宋体"/>
                <w:b/>
                <w:bCs/>
                <w:color w:val="000000"/>
                <w:sz w:val="24"/>
                <w:szCs w:val="24"/>
                <w:highlight w:val="none"/>
              </w:rPr>
            </w:r>
            <w:r/>
          </w:p>
        </w:tc>
      </w:tr>
      <w:tr>
        <w:trPr>
          <w:trHeight w:val="569"/>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收治病种数量（ICD-10四位亚目数量）</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收治病种数量（ICD-10四位亚目数量）</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住院术种数量（ICD-9-CM-3四位亚目数量）</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住院术种数量（ICD-9-CM-3四位亚目数量）</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DRG-DRGs组数</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DRG-DRGs组数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DRG-CMI</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DRG-CMI</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DRG时间指数</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DRG时间指数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DRG费用指数</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DRG费用指数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050" w:type="dxa"/>
            <w:vAlign w:val="center"/>
            <w:vMerge w:val="restart"/>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“互联网+医疗健康”开展情况</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互联网医疗服务业务开展项目数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互联网诊疗服务占门急诊复诊比例</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4050" w:type="dxa"/>
            <w:vAlign w:val="center"/>
            <w:vMerge w:val="restart"/>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年度国家医疗质量安全目标改进情况（以评审周期四年内国家发布的安全目标改进指标为准，体现每个指标的持续改进）</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（2324）</w:t>
            </w:r>
            <w:r>
              <w:rPr>
                <w:rFonts w:hint="eastAsia" w:ascii="宋体" w:hAnsi="宋体" w:eastAsia="宋体" w:cs="宋体"/>
                <w:color w:val="000000"/>
                <w:sz w:val="24"/>
                <w:szCs w:val="24"/>
                <w:highlight w:val="none"/>
              </w:rPr>
              <w:t xml:space="preserve">提高急性ST段抬高型心肌梗死（STEMI）再灌注治疗率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232425</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提高急性脑梗死再灌注治疗率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（26）提高脑血管病急性期规范诊疗率</w:t>
            </w:r>
            <w:r>
              <w:rPr>
                <w:rFonts w:hint="eastAsia" w:ascii="宋体" w:hAnsi="宋体" w:eastAsia="宋体" w:cs="宋体"/>
                <w:color w:val="000000"/>
                <w:sz w:val="24"/>
                <w:szCs w:val="24"/>
                <w:highlight w:val="none"/>
                <w:lang w:val="en-US" w:eastAsia="zh-CN"/>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（26）提高肿瘤治疗前临床分期评估率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提高住院患者抗菌药物治疗前病原学送检率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242526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提高静脉血栓栓塞症规范预防率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（242526）提高感染性休克集束化治疗完成率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242526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提高医疗质量安全不良事件报告率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降低手术患者术后31天内非预期重返手术室再次手术率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降低住院患者静脉输液使用率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（2324）</w:t>
            </w:r>
            <w:r>
              <w:rPr>
                <w:rFonts w:hint="eastAsia" w:ascii="宋体" w:hAnsi="宋体" w:eastAsia="宋体" w:cs="宋体"/>
                <w:color w:val="000000"/>
                <w:sz w:val="24"/>
                <w:szCs w:val="24"/>
                <w:highlight w:val="none"/>
              </w:rPr>
              <w:t xml:space="preserve">降低阴道分娩并发症发生率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（242526）提高住院患者静脉输液规范使用率</w:t>
            </w:r>
            <w:r>
              <w:rPr>
                <w:rFonts w:hint="eastAsia" w:ascii="宋体" w:hAnsi="宋体" w:eastAsia="宋体" w:cs="宋体"/>
                <w:color w:val="000000"/>
                <w:sz w:val="24"/>
                <w:szCs w:val="24"/>
                <w:highlight w:val="none"/>
                <w:lang w:val="en-US" w:eastAsia="zh-CN" w:bidi="ar-SA"/>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（242526）提高四级手术术前多学科讨论完成率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（242526）提高关键诊疗行为相关记录完整率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（242526）降低非计划重返手术室再手术率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（2526）提高医疗机构检查检验结果互认率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患者住院总死亡率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患者住院总死亡率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新生儿患者住院死亡率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新生儿患者住院死亡率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手术患者住院死亡率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hanging="456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手术患者住院死亡率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住院患者出院后0-31天非预期再住院率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住院患者出院后0-31天非预期再住院率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手术患者术后48小时/31天内非预期重返手术室再次手术率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手术患者术后48小时/31天内非预期重返手术室再次手术率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115个低风险病种患者住院死亡率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115个低风险病种患者住院死亡率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低风险组患者住院死亡率</w:t>
            </w:r>
            <w:r>
              <w:rPr>
                <w:rFonts w:hint="eastAsia" w:ascii="宋体" w:hAnsi="宋体" w:eastAsia="宋体" w:cs="宋体"/>
                <w:color w:val="000000"/>
                <w:sz w:val="24"/>
                <w:szCs w:val="24"/>
                <w:highlight w:val="none"/>
              </w:rPr>
            </w:r>
            <w:r/>
          </w:p>
        </w:tc>
        <w:tc>
          <w:tcPr>
            <w:tcW w:w="4890" w:type="dxa"/>
            <w:vAlign w:val="center"/>
            <w:textDirection w:val="lrTb"/>
            <w:noWrap/>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低风险组患者住院死亡率</w:t>
            </w:r>
            <w:r>
              <w:rPr>
                <w:rFonts w:hint="eastAsia" w:ascii="宋体" w:hAnsi="宋体" w:eastAsia="宋体" w:cs="宋体"/>
                <w:color w:val="000000"/>
                <w:sz w:val="24"/>
                <w:szCs w:val="24"/>
                <w:highlight w:val="none"/>
              </w:rPr>
            </w:r>
            <w:r/>
          </w:p>
        </w:tc>
      </w:tr>
      <w:tr>
        <w:trPr>
          <w:trHeight w:val="568"/>
        </w:trPr>
        <w:tc>
          <w:tcPr>
            <w:tcW w:w="962" w:type="dxa"/>
            <w:vAlign w:val="center"/>
            <w:textDirection w:val="lrTb"/>
            <w:noWrap/>
          </w:tcPr>
          <w:p>
            <w:pPr>
              <w:pStyle w:val="651"/>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4050" w:type="dxa"/>
            <w:vAlign w:val="center"/>
            <w:textDirection w:val="lrTb"/>
            <w:noWrap w:val="false"/>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手术介入操作并发症、新生儿产伤等32个并发症发生率</w:t>
            </w:r>
            <w:r>
              <w:rPr>
                <w:rFonts w:hint="eastAsia" w:ascii="宋体" w:hAnsi="宋体" w:eastAsia="宋体" w:cs="宋体"/>
                <w:color w:val="000000"/>
                <w:sz w:val="24"/>
                <w:szCs w:val="24"/>
                <w:highlight w:val="none"/>
              </w:rPr>
            </w:r>
            <w:r/>
          </w:p>
        </w:tc>
        <w:tc>
          <w:tcPr>
            <w:tcW w:w="4890" w:type="dxa"/>
            <w:vAlign w:val="center"/>
            <w:textDirection w:val="lrTb"/>
            <w:noWrap/>
          </w:tcPr>
          <w:p>
            <w:pPr>
              <w:pStyle w:val="651"/>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并发症发生率</w:t>
            </w:r>
            <w:r>
              <w:rPr>
                <w:rFonts w:hint="eastAsia" w:ascii="宋体" w:hAnsi="宋体" w:eastAsia="宋体" w:cs="宋体"/>
                <w:color w:val="000000"/>
                <w:sz w:val="24"/>
                <w:szCs w:val="24"/>
                <w:highlight w:val="none"/>
              </w:rPr>
            </w:r>
            <w:r/>
          </w:p>
        </w:tc>
      </w:tr>
    </w:tbl>
    <w:p>
      <w:pPr>
        <w:pStyle w:val="651"/>
        <w:numPr>
          <w:ilvl w:val="0"/>
          <w:numId w:val="0"/>
        </w:numPr>
        <w:ind w:firstLine="241"/>
        <w:keepLines w:val="0"/>
        <w:keepNext w:val="0"/>
        <w:pageBreakBefore w:val="0"/>
        <w:spacing w:beforeAutospacing="0" w:afterAutospacing="0"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（3）第四章单病种（术种）质量控制指标共55个病种，每个病种为平均住院日、次均费用、病死率3个指标，共165个指标，如下：</w:t>
      </w:r>
      <w:r>
        <w:rPr>
          <w:rFonts w:ascii="宋体" w:hAnsi="宋体" w:eastAsia="宋体" w:cs="宋体"/>
          <w:b/>
          <w:bCs/>
          <w:sz w:val="24"/>
          <w:szCs w:val="24"/>
          <w:lang w:val="en-US" w:eastAsia="zh-CN"/>
        </w:rPr>
      </w:r>
      <w:r/>
    </w:p>
    <w:tbl>
      <w:tblPr>
        <w:tblStyle w:val="722"/>
        <w:tblW w:w="98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4050"/>
        <w:gridCol w:w="4890"/>
      </w:tblGrid>
      <w:tr>
        <w:trPr>
          <w:trHeight w:val="496"/>
        </w:trPr>
        <w:tc>
          <w:tcPr>
            <w:tcW w:w="955"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50"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病种</w:t>
            </w:r>
            <w:r>
              <w:rPr>
                <w:rFonts w:hint="eastAsia" w:ascii="宋体" w:hAnsi="宋体" w:eastAsia="宋体" w:cs="宋体"/>
                <w:b/>
                <w:bCs/>
                <w:color w:val="000000"/>
                <w:sz w:val="24"/>
                <w:szCs w:val="24"/>
              </w:rPr>
            </w:r>
            <w:r/>
          </w:p>
        </w:tc>
        <w:tc>
          <w:tcPr>
            <w:tcW w:w="4890"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rPr>
                <w:rFonts w:hint="eastAsia" w:ascii="宋体" w:hAnsi="宋体" w:eastAsia="宋体" w:cs="宋体"/>
                <w:b/>
                <w:bCs/>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急性心肌梗死（ST段抬高型，首次住院）（STEMI）</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心力衰竭</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冠状动脉旁路移植术</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房颤（AF）</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主动脉瓣置换术（手术治疗）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二尖瓣置换术(手术治疗）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房间隔缺损手术（手术治疗）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室间隔缺损手术（手术治疗）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脑梗死（首次住院）</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短暂性脑缺血发作</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脑出血主要诊断</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脑膜瘤（初发，手术治疗）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胶质瘤（初发，手术治疗）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垂体腺瘤（初发，手术治疗）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急性动脉瘤性蛛网膜下腔出血（初发，手术治疗）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惊厥性癫痫持续状态</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帕金森病</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社区获得性肺炎（成人，首次住院）</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社区获得性肺炎（儿童，首次住院）</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慢性阻塞性肺疾病（急性发作，住院）</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哮喘（成人，急性发作，住院）</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哮喘（儿童，住院）</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髋关节置换术</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膝关节置换术</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发育性髋关节发育不良（手术治疗）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剖宫产（CS）</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异位妊娠（手术治疗）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子宫肌瘤（手术治疗）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肺癌（手术治疗）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甲状腺癌（手术治疗）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乳腺癌（手术治疗）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胃癌（手术治疗）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宫颈癌（手术治疗）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结肠癌（手术治疗）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糖尿病肾病</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终末期肾病血液透析</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终末期肾病腹膜透析</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舌鳞状细胞癌（手术治疗）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腮腺肿瘤（手术治疗）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口腔种植术</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原发性急性闭角型青光眼（手术治疗）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复杂性视网膜脱离（手术治疗）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围手术期预防感染</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围手术期预防深静脉血栓栓塞</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住院精神疾病</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中高危风险患者预防静脉血栓栓塞症</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感染性休克早期治疗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儿童急性淋巴细胞白血病（初始诱导化疗）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儿童急性早幼粒细胞白血病（初始化疗）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w:t>
            </w:r>
            <w:r>
              <w:rPr>
                <w:rFonts w:hint="eastAsia" w:ascii="宋体" w:hAnsi="宋体" w:eastAsia="宋体" w:cs="宋体"/>
                <w:color w:val="000000"/>
                <w:sz w:val="24"/>
                <w:szCs w:val="24"/>
              </w:rPr>
            </w:r>
            <w:r/>
          </w:p>
        </w:tc>
        <w:tc>
          <w:tcPr>
            <w:tcW w:w="4050"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甲状腺结节（手术治疗）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HBV感染分娩母婴阻断</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急性呼吸窘迫综合征ARDS</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主动脉腔内修复术EAR</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急性肺血栓栓塞症</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急性重症胰腺炎（初始治疗）</w:t>
            </w: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305"/>
        </w:trPr>
        <w:tc>
          <w:tcPr>
            <w:tcW w:w="95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bl>
    <w:p>
      <w:pPr>
        <w:pStyle w:val="651"/>
        <w:numPr>
          <w:ilvl w:val="0"/>
          <w:numId w:val="0"/>
        </w:numPr>
        <w:keepLines w:val="0"/>
        <w:keepNext w:val="0"/>
        <w:pageBreakBefore w:val="0"/>
        <w:spacing w:beforeAutospacing="0" w:afterAutospacing="0"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（4）第五章重点医疗技术临床应用质量控制指标共125个指标，如下：</w:t>
      </w:r>
      <w:r>
        <w:rPr>
          <w:rFonts w:ascii="宋体" w:hAnsi="宋体" w:eastAsia="宋体" w:cs="宋体"/>
          <w:b/>
          <w:bCs/>
          <w:sz w:val="24"/>
          <w:szCs w:val="24"/>
          <w:lang w:val="en-US" w:eastAsia="zh-CN"/>
        </w:rPr>
      </w:r>
      <w:r/>
    </w:p>
    <w:tbl>
      <w:tblPr>
        <w:tblStyle w:val="722"/>
        <w:tblW w:w="98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4065"/>
        <w:gridCol w:w="4847"/>
      </w:tblGrid>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4065"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rPr>
            </w:r>
            <w:r/>
          </w:p>
        </w:tc>
        <w:tc>
          <w:tcPr>
            <w:tcW w:w="4847"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65"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限制性医疗技术的开展情况</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限制性医疗技术的开展情况</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限制性医疗技术数据质量控制</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质控数据上报的完整率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质控数据上报的及时率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质控数据上报的准确率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国家限制类医疗技术</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异基因造血干细胞移植技术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同种胰岛移植技术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同种异体运动系统结构性组织移植技术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同种异体角膜移植技术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性别重置技术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质子和重离子加速器放射治疗技术</w:t>
            </w:r>
            <w:r>
              <w:rPr>
                <w:rFonts w:hint="eastAsia" w:ascii="宋体" w:hAnsi="宋体" w:eastAsia="宋体" w:cs="宋体"/>
                <w:color w:val="000000"/>
                <w:sz w:val="24"/>
                <w:szCs w:val="24"/>
              </w:rPr>
            </w:r>
            <w:r/>
          </w:p>
        </w:tc>
      </w:tr>
      <w:tr>
        <w:trPr>
          <w:trHeight w:val="286"/>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放射性粒子植入治疗技术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肿瘤消融治疗技术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心室辅助技术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人工智能辅助治疗技术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体外膜肺氧合（ECMO）技术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自体器官移植技术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省级限制性医疗技术</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同种异体皮肤移植技术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同种异体皮肤移植技术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颅颌面畸形颅面外科矫治</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口腔颌面部肿瘤颅颌联合根治</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心血管疾病介入诊疗技术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心血管疾病介入诊疗技术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全身高能X线（及钴60γ线）照射技术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人工耳蜗植入术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神经血管介入诊疗技术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呼吸内镜诊疗技术（四级）</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鼻科内镜诊疗技术（四级）</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咽喉科内镜诊疗技术（四级）</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消化内镜诊疗技术（四级）</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非移植医院及其医务人员参与的人体器官捐献工作</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向人体器官获取组织报送的潜在器官捐献者人数与院内死亡人数比</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实现器官捐献的人数与院内死亡人数比</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lang w:val="en-US" w:eastAsia="zh-CN"/>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移植医院及其医务人员参与的人体器官</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向人体器官获取组织报送的潜在器官捐献者人数与院内死亡人数比</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实现器官捐献的人数与院内死亡人数比</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器官移植质控数据上报完整度</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器官移植质控数据上报的及时率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器官移植质控数据上报的准确性</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器官移植（心脏、肝脏、肾脏、肺脏）术后感染发生率</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器官移植（心脏、肝脏、肾脏、肺脏）术后早期死亡率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lang w:val="en-US" w:eastAsia="zh-CN" w:bidi="ar-SA"/>
              </w:rPr>
            </w:r>
            <w:r/>
          </w:p>
        </w:tc>
        <w:tc>
          <w:tcPr>
            <w:tcW w:w="4065"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上消化道内镜检查完整率</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上消化道内镜检查完整率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消化内镜诊疗技术医疗质量控制指标</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结肠镜检查肠道准备优良率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结肠镜盲肠插镜成功率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消化内镜相关严重并发症发生率</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消化道早癌内镜黏膜下剥离术(ESD)完整切除率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心血管内科医疗服务能力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呼吸与危重症学科医疗服务能力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血液内科医疗服务能力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内分泌科医疗服务能力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肾脏内科医疗服务能力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风湿免疫内科医疗服务能力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老年医学科医疗服务能力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普通外科医疗服务能力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胸外科医疗服务能力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心脏大血管外科医疗服务能力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骨科医疗服务能力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烧伤科医疗服务能力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泌尿外科医疗服务能力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整形外科医疗服务能力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血管外科医疗服务能力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妇科医疗服务能力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感染性疾病科医疗服务能力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眼科医疗服务能力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耳鼻喉头颈外科医疗服务能力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口腔科医疗服务能力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皮肤科医疗服务能力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肿瘤科医疗服务能力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疼痛科医疗服务能力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医学影像科医疗服务能力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超声医学科医疗服务能力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介入放射科医疗服务能力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医学检验科医疗服务能力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输血科医疗服务能力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药剂科医疗服务能力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病理科医疗服务能力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营养科医疗服务能力</w:t>
            </w: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302"/>
        </w:trPr>
        <w:tc>
          <w:tcPr>
            <w:tcW w:w="90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bl>
    <w:p>
      <w:pPr>
        <w:pStyle w:val="651"/>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（5）第六章经济运营指标共20个指标，如下：</w:t>
      </w:r>
      <w:r>
        <w:rPr>
          <w:rFonts w:hint="eastAsia" w:ascii="宋体" w:hAnsi="宋体" w:eastAsia="宋体" w:cs="宋体"/>
          <w:b/>
          <w:bCs/>
          <w:sz w:val="24"/>
          <w:szCs w:val="24"/>
          <w:lang w:val="en-US" w:eastAsia="zh-CN"/>
        </w:rPr>
      </w:r>
      <w:r/>
    </w:p>
    <w:tbl>
      <w:tblPr>
        <w:tblStyle w:val="722"/>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080"/>
        <w:gridCol w:w="4881"/>
      </w:tblGrid>
      <w:tr>
        <w:trPr>
          <w:trHeight w:val="457"/>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8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rPr>
                <w:rFonts w:hint="eastAsia" w:ascii="宋体" w:hAnsi="宋体" w:eastAsia="宋体" w:cs="宋体"/>
                <w:b/>
                <w:bCs/>
                <w:color w:val="000000"/>
                <w:sz w:val="24"/>
                <w:szCs w:val="24"/>
              </w:rPr>
            </w:r>
            <w:r/>
          </w:p>
        </w:tc>
        <w:tc>
          <w:tcPr>
            <w:tcW w:w="4881"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rPr>
                <w:rFonts w:hint="eastAsia" w:ascii="宋体" w:hAnsi="宋体" w:eastAsia="宋体" w:cs="宋体"/>
                <w:b/>
                <w:bCs/>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资产负债率</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资产负债率</w:t>
            </w:r>
            <w:r>
              <w:rPr>
                <w:rFonts w:hint="eastAsia" w:ascii="宋体" w:hAnsi="宋体" w:eastAsia="宋体" w:cs="宋体"/>
                <w:color w:val="000000"/>
                <w:sz w:val="24"/>
                <w:szCs w:val="24"/>
              </w:rPr>
            </w:r>
            <w:r/>
          </w:p>
        </w:tc>
      </w:tr>
      <w:tr>
        <w:trPr>
          <w:trHeight w:val="52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百元固定资产医疗收入（不含药品、卫生材料收入）</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百元固定资产医疗收入（不含药品、卫生材料收入）</w:t>
            </w:r>
            <w:r>
              <w:rPr>
                <w:rFonts w:hint="eastAsia" w:ascii="宋体" w:hAnsi="宋体" w:eastAsia="宋体" w:cs="宋体"/>
                <w:color w:val="000000"/>
                <w:sz w:val="24"/>
                <w:szCs w:val="24"/>
              </w:rPr>
            </w:r>
            <w:r/>
          </w:p>
        </w:tc>
      </w:tr>
      <w:tr>
        <w:trPr>
          <w:trHeight w:val="52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每职工平均医疗收入（不含药品、卫生材料收入）</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每职工平均医疗收入（不含药品、卫生材料收入）</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门诊收入占医疗收入比例</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门诊收入占医疗收入比例</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住院收入占医疗收入比例</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住院收入占医疗收入比例</w:t>
            </w:r>
            <w:r>
              <w:rPr>
                <w:rFonts w:hint="eastAsia" w:ascii="宋体" w:hAnsi="宋体" w:eastAsia="宋体" w:cs="宋体"/>
                <w:color w:val="000000"/>
                <w:sz w:val="24"/>
                <w:szCs w:val="24"/>
              </w:rPr>
            </w:r>
            <w:r/>
          </w:p>
        </w:tc>
      </w:tr>
      <w:tr>
        <w:trPr>
          <w:trHeight w:val="777"/>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医疗服务收入（不含药品、卫生材料、检查检验收入）占医疗收入比例</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医疗服务收入（不含药品、卫生材料、检查检验收入）占医疗收入比例</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药品收入占比</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药品收入占比</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卫生材料收入占比</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卫生材料收入占比</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人员支出占业务支出比重</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人员支出占业务支出比重</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万元收入能耗支出</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万元收入能耗支出</w:t>
            </w:r>
            <w:r>
              <w:rPr>
                <w:rFonts w:hint="eastAsia" w:ascii="宋体" w:hAnsi="宋体" w:eastAsia="宋体" w:cs="宋体"/>
                <w:color w:val="000000"/>
                <w:sz w:val="24"/>
                <w:szCs w:val="24"/>
              </w:rPr>
            </w:r>
            <w:r/>
          </w:p>
        </w:tc>
      </w:tr>
      <w:tr>
        <w:trPr>
          <w:trHeight w:val="52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百元医疗收入（不含药品收入）消耗卫生材料费用</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百元医疗收入（不含药品收入）消耗卫生材料费用</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医疗盈余率</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医疗盈余率</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医疗收入增幅</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医疗收入增幅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门诊次均费用增幅</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门诊次均药品费用增幅</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门诊次均药品费用增幅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住院次均费用增幅</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住院次均药品费用增幅</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住院次均药品费用增幅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预算收入执行率</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预算收入执行率</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预算支出执行率</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预算支出执行率</w:t>
            </w:r>
            <w:r>
              <w:rPr>
                <w:rFonts w:hint="eastAsia" w:ascii="宋体" w:hAnsi="宋体" w:eastAsia="宋体" w:cs="宋体"/>
                <w:color w:val="000000"/>
                <w:sz w:val="24"/>
                <w:szCs w:val="24"/>
              </w:rPr>
            </w:r>
            <w:r/>
          </w:p>
        </w:tc>
      </w:tr>
      <w:tr>
        <w:trPr>
          <w:trHeight w:val="280"/>
        </w:trPr>
        <w:tc>
          <w:tcPr>
            <w:tcW w:w="870"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80"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管理费用率</w:t>
            </w:r>
            <w:r>
              <w:rPr>
                <w:rFonts w:hint="eastAsia" w:ascii="宋体" w:hAnsi="宋体" w:eastAsia="宋体" w:cs="宋体"/>
                <w:color w:val="000000"/>
                <w:sz w:val="24"/>
                <w:szCs w:val="24"/>
              </w:rPr>
            </w:r>
            <w:r/>
          </w:p>
        </w:tc>
        <w:tc>
          <w:tcPr>
            <w:tcW w:w="4881" w:type="dxa"/>
            <w:vAlign w:val="center"/>
            <w:textDirection w:val="lrTb"/>
            <w:noWrap/>
          </w:tcPr>
          <w:p>
            <w:pPr>
              <w:pStyle w:val="651"/>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管理费用率</w:t>
            </w:r>
            <w:r>
              <w:rPr>
                <w:rFonts w:hint="eastAsia" w:ascii="宋体" w:hAnsi="宋体" w:eastAsia="宋体" w:cs="宋体"/>
                <w:color w:val="000000"/>
                <w:sz w:val="24"/>
                <w:szCs w:val="24"/>
              </w:rPr>
            </w:r>
            <w:r/>
          </w:p>
        </w:tc>
      </w:tr>
    </w:tbl>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1.1指标信息配置服务</w:t>
      </w:r>
      <w:r>
        <w:rPr>
          <w:rFonts w:hint="eastAsia" w:ascii="宋体" w:hAnsi="宋体" w:eastAsia="宋体" w:cs="宋体"/>
          <w:b/>
          <w:sz w:val="24"/>
          <w:szCs w:val="24"/>
          <w:lang w:val="en-US" w:eastAsia="zh-CN" w:bidi="ar-SA"/>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本项目要求供应商围绕医院等级评审第二部分医疗服务能力与质量安全监测数据部分内容，科学配置指标体系，具体指标内容参考《江苏省三级综合医院评审标准实施细则（2023版）》及《三级医院评审标准（2025年版）》</w:t>
      </w:r>
      <w:r>
        <w:rPr>
          <w:rFonts w:hint="eastAsia" w:ascii="宋体" w:hAnsi="宋体" w:eastAsia="宋体" w:cs="宋体"/>
          <w:b/>
          <w:bCs/>
          <w:sz w:val="24"/>
          <w:szCs w:val="24"/>
          <w:highlight w:val="none"/>
          <w:u w:val="single"/>
          <w:lang w:val="en-US" w:eastAsia="zh-CN"/>
        </w:rPr>
        <w:t xml:space="preserve">（</w:t>
      </w:r>
      <w:r>
        <w:rPr>
          <w:rFonts w:hint="eastAsia" w:ascii="宋体" w:hAnsi="宋体" w:eastAsia="宋体" w:cs="宋体"/>
          <w:b/>
          <w:bCs/>
          <w:sz w:val="24"/>
          <w:szCs w:val="24"/>
          <w:highlight w:val="none"/>
          <w:u w:val="single"/>
          <w:lang w:val="en-US" w:eastAsia="zh-CN"/>
        </w:rPr>
        <w:t xml:space="preserve">因本项目存在特殊性，项目后期具体实施将结合参照最新发布的《江苏省三级综合医院评审标准实施细则》执行。</w:t>
      </w:r>
      <w:r>
        <w:rPr>
          <w:rFonts w:hint="eastAsia" w:ascii="宋体" w:hAnsi="宋体" w:eastAsia="宋体" w:cs="宋体"/>
          <w:b/>
          <w:bCs/>
          <w:sz w:val="24"/>
          <w:szCs w:val="24"/>
          <w:highlight w:val="none"/>
          <w:u w:val="single"/>
          <w:lang w:val="en-US" w:eastAsia="zh-CN"/>
        </w:rPr>
        <w:t xml:space="preserve">）</w:t>
      </w:r>
      <w:r>
        <w:rPr>
          <w:rFonts w:hint="eastAsia" w:ascii="宋体" w:hAnsi="宋体" w:eastAsia="宋体" w:cs="宋体"/>
          <w:b w:val="0"/>
          <w:bCs w:val="0"/>
          <w:sz w:val="24"/>
          <w:szCs w:val="24"/>
          <w:lang w:val="en-US" w:eastAsia="zh-CN"/>
        </w:rPr>
        <w:t xml:space="preserve">。严格按照医院等级评审指标框架，涵盖资源配置与运行数据指标、医疗服务能力与医院质量安全指标、重点专业质量控制指标等指标，对指标的访问和操作进行权限管理，以确保数据的安全性和保密性，同时根据指标拆分的分子、分母及相关项，配置主指标计算公式及附加计算，供应商应对细项计算公式进行自定义配置（加减乘除等运算公式），指标计算口径与医院等级评审细则标准完全对标，确保公式的准确性和可靠性。</w:t>
      </w:r>
      <w:r>
        <w:rPr>
          <w:rFonts w:hint="eastAsia" w:ascii="宋体" w:hAnsi="宋体" w:eastAsia="宋体" w:cs="宋体"/>
          <w:b/>
          <w:bCs/>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1.2指标数据采集服务</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能够通过数据采集工具将院内分散在不同系统、不同科室的考核指标相关的数据通过清洗、转换、加载汇聚到主题库中，在数据汇聚的过程中，对数据质量进行校验，增量数据能够及时获取，数据不遗漏，数据安全可控，确保能为后续数据分析和挖掘提供及时精准的基础数据支撑。</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1.3指标数据可视化</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对指标体系进行指标分类，时间分类等多维分析，能够查看当前值、目标值、负责科室、同期值、同比、上期值、环比等信息，基于医院等级评审分类，构建柱状图、趋势图等可视化图表，直观呈现医院等级评审指标变化情况，还能进一步下钻到诊疗组、医生、患者维度分析。选取同等级、同类型医院作为标杆，对比分析关键指标差异，定位管理短板与改进方向。</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1.4指标数据预警提醒</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医院历史数据及行业基准值要求，供应商需为医院设定个性化的指标预警阈值。当某项指标数据触发预警阈值时，通过平台推送、短信、邮件等多渠道即时向医院对接人发送预警提醒，明确预警指标名称、当前数值及预警阈值，确保医院第一时间知晓指标异常情况，避免问题扩大化。</w:t>
      </w:r>
      <w:r>
        <w:rPr>
          <w:rFonts w:hint="eastAsia" w:ascii="宋体" w:hAnsi="宋体" w:eastAsia="宋体" w:cs="宋体"/>
          <w:sz w:val="24"/>
          <w:szCs w:val="24"/>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发送预警提醒的同时，针对触发预警的指标开展专项分析。从数据关联性、时间维度、影响因素三个层面深入挖掘预警原因，形成《指标数据预警分析简报》。简报中清晰呈现预警概况，还附相关数据图表辅助理解，为医院快速制定应对措施提供方向指引，并定期梳理预警分析案例，提炼共性问题与解决思路，形成经验档案，提升后续分析效率与准确性。</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1.5数据问题排查</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数据变化全程由供应商负责监测与记录，实时跟踪各项指标数据的变化情况，及时发现新问题与潜在风险，并在后续的月报中进行反馈与分析，确保医院能够及时掌握自身运营状况的动态变化。</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1.6月度分析报告</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月为医院提供一份调研月报，报告不仅涵盖医院各项指标数据的数值详情，对全院/科室指标的达标与未达标情况进行展示，将不同科室进行目标值对比，明确医院在各科室中的优势与不足，还将深入分析数据内涵，在月度会议中根据月度报告，工程师对本月数值为0或不准确的情况进行集中解读，解答医院及科室提出的疑问，确保分析结论被充分理解。</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1.7协同整改服务</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供应商每月根据月度报告与医院组织召开专题会议，与医院管理层、各科室负责人等相关人员进行深入交流，共同探讨报告中反映出的问题，听取医院方面的意见与需求，确保对问题的理解全面准确。​</w:t>
      </w:r>
      <w:r>
        <w:rPr>
          <w:rFonts w:hint="eastAsia" w:ascii="宋体" w:hAnsi="宋体" w:eastAsia="宋体" w:cs="宋体"/>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供应商提供专业人员配合医院开展调研工作，若发现某项数值较低，立即与具体科室进行沟通，全面了解科室在该指标相关工作中的实际情况，挖掘问题产生的深层次原因。</w:t>
      </w:r>
      <w:r>
        <w:rPr>
          <w:rFonts w:hint="eastAsia" w:ascii="宋体" w:hAnsi="宋体" w:eastAsia="宋体" w:cs="宋体"/>
          <w:b/>
          <w:bCs/>
          <w:sz w:val="24"/>
          <w:szCs w:val="24"/>
          <w:lang w:val="en-US" w:eastAsia="zh-CN"/>
        </w:rPr>
      </w:r>
      <w:r/>
    </w:p>
    <w:p>
      <w:pPr>
        <w:pStyle w:val="651"/>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2、医院专业（专科）类指标服务需求</w:t>
      </w:r>
      <w:r>
        <w:rPr>
          <w:rFonts w:hint="eastAsia" w:ascii="宋体" w:hAnsi="宋体" w:eastAsia="宋体" w:cs="宋体"/>
          <w:b/>
          <w:bCs/>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本指标管理服务要求供应商聚焦医院在医院专业（专科）类指标建设中面临的数据异常、成绩差异等问题，通过专业、深入的服务，助力医院精准定位问题，优化管理策略，提升整体成绩与竞争力。</w:t>
      </w:r>
      <w:r>
        <w:rPr>
          <w:rFonts w:hint="eastAsia" w:ascii="宋体" w:hAnsi="宋体" w:eastAsia="宋体" w:cs="宋体"/>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要求供应商围绕《医疗质量管理与控制指标汇编8.0版》专业（专科）类内容，共建设29项专业指标内容，具体如下：</w:t>
      </w:r>
      <w:r>
        <w:rPr>
          <w:rFonts w:hint="eastAsia" w:ascii="宋体" w:hAnsi="宋体" w:eastAsia="宋体" w:cs="宋体"/>
          <w:b/>
          <w:bCs/>
          <w:sz w:val="24"/>
          <w:szCs w:val="24"/>
          <w:lang w:val="en-US" w:eastAsia="zh-CN"/>
        </w:rPr>
        <w:t xml:space="preserve">（1）临床检验专业医疗质量控制指标（2025年版）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9"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标本类型错误率（CL-01）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标本容器错误率（CL-02）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标本采集量错误率（CL-03）</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血培养污染率（CL-04）</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抗凝标本凝集率（CL-05）</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标本拒收率（CL-06）</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室内质控项目开展率（CL-07）</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室内质控项目变异系数不合格率（CL-08）</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室间质评项目参加率（CL-09）</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室间质评项目合格率（CL-10）</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检验项目替代评价方法使用率（CL-11）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检验总周转时间第90百分位数（CL-12）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检验报告不正确率（CL-13）</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危急值通报率（CL-14）</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危急值通报及时率（CL-15）</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（2）药事管理专业医疗质量控制指标（2025年版）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982"/>
        <w:gridCol w:w="2980"/>
        <w:gridCol w:w="2961"/>
      </w:tblGrid>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3"/>
            <w:tcW w:w="8923" w:type="dxa"/>
            <w:vAlign w:val="center"/>
            <w:textDirection w:val="lrTb"/>
            <w:noWrap w:val="false"/>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医师人数与药师人数之比（PHA-01）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每百张床位临床药师人数（PHA-02）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处方审核率（PHA-03）</w:t>
            </w: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门诊处方审核率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急诊处方审核率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住院患者用药医嘱审核率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处方点评情况（PHA-04）</w:t>
            </w:r>
            <w:r>
              <w:rPr>
                <w:rFonts w:hint="eastAsia" w:ascii="宋体" w:hAnsi="宋体" w:eastAsia="宋体" w:cs="宋体"/>
                <w:i w:val="0"/>
                <w:iCs w:val="0"/>
                <w:color w:val="000000"/>
                <w:sz w:val="24"/>
                <w:szCs w:val="24"/>
                <w:u w:val="none"/>
              </w:rPr>
            </w:r>
            <w:r/>
          </w:p>
        </w:tc>
        <w:tc>
          <w:tcPr>
            <w:tcW w:w="1496"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处方点评率（PHA-04-01）</w:t>
            </w: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门诊处方点评率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急诊处方点评率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住院患者用药医嘱点评率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重点监控合理用药药品住院患者用药医嘱点评率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处方合理率（PHA-04-02）</w:t>
            </w: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门诊处方合理率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急诊处方合理率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住院患者用药医嘱合理率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重点监控合理用药药品住院患者用药医嘱合理率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住院患者药学监护率（PHA-05）</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住院患者静脉用药情况（PHA-06）</w:t>
            </w: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住院患者静脉输液使用率（PHA-06-01）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住院患者静脉输液床日占比（PHA-06-02）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住院患者静脉输液平均每床日使用体积（PHA-06-03）</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Ⅰ类切口手术经静脉预防使用抗菌药物时长≤24小时比例（PHA-06-04）</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Ⅱ类切口手术经静脉预防使用抗菌药物时长≤24小时比例（PHA-06-05）</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住院患者人均静脉用药品种数（PHA-06-06）</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住院患者静脉输液泵使用率（PHA-06-07）</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住院患者抗菌药物使用情况（PHA-07）</w:t>
            </w: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住院患者抗菌药物使用率（PHA-07-01）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住院患者抗菌药物使用强度（DDDs）（PHA-07-02）</w:t>
            </w: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住院患者抗菌药物使用强度（DDDs）</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住院患者特殊使用级抗菌药物使用强度（DDDs）</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严重或新的药品不良反应上报比例（PHA-08）</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用药错误报告率（PHA-09）</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（3）病理专业医疗质量控制指标（2024年版）</w:t>
      </w:r>
      <w:r>
        <w:rPr>
          <w:rFonts w:hint="eastAsia" w:ascii="宋体" w:hAnsi="宋体" w:eastAsia="宋体" w:cs="宋体"/>
          <w:b/>
          <w:bCs/>
          <w:sz w:val="24"/>
          <w:szCs w:val="24"/>
          <w:lang w:val="en-US" w:eastAsia="zh-CN"/>
        </w:rPr>
      </w:r>
      <w:r/>
    </w:p>
    <w:tbl>
      <w:tblPr>
        <w:tblW w:w="49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5"/>
      </w:tblGrid>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每百张床位病理医师数（PATH-01）</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每百张床位病理技术人员数（PATH-02）</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标本规范化固定率（PATH-03）</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苏木精-伊红染色法（HematoxylinEosinstaining，HE）染色切片优良率（PATH-04）</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免疫组化染色切片优良率（PATH-05）</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术中快速诊断及时率（PATH-06）</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组织病理诊断及时率（PATH-07）</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细胞病理诊断及时率（PATH-08）</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分子病理检测室内质控合格率（PATH-09）</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免疫组化染色室间质评合格率（PATH-10）</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分子病理室间质评合格率（PATH-11）</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细胞学病理诊断质控符合率（PATH-12）</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术中快速诊断与石蜡诊断符合率（PATH-13）</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（4）心血管系统疾病相关专业医疗质量控制指标（2021年版）</w:t>
      </w:r>
      <w:r>
        <w:rPr>
          <w:rFonts w:hint="eastAsia" w:ascii="宋体" w:hAnsi="宋体" w:eastAsia="宋体" w:cs="宋体"/>
          <w:b/>
          <w:bCs/>
          <w:sz w:val="24"/>
          <w:szCs w:val="24"/>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1260"/>
        <w:gridCol w:w="7666"/>
      </w:tblGrid>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急性ST段抬高型心肌梗死</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急性ST段抬高型心肌梗死（STEMI）患者到院10分钟内完成12导联（及以上）心电图检查率（CVD-STEMI-01）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急性STEMI患者到院1小时内阿司匹林治疗率（CVD-STEMI-02）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急性STEMI患者到院1小时内P2Y12受体拮抗剂治疗率（CVDSTEMI-03）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发病24小时内急性STEMI患者再灌注治疗率（CVD-STEMI-04）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发病24小时内急性STEMI患者到院90分钟内进行直接经皮冠状动脉介入治疗（PCI）的比例（CVD-STEMI-05）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发病24小时内急性STEMI患者到院30分钟内给予静脉溶栓治疗的比例（CVD-STEMI-06）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急性STEMI患者到院24小时内β受体阻滞剂治疗率（CVDSTEMI-07）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急性STEMI患者住院期间应用超声心动图（UCG）评价左心室射血分数（LVEF）的比例（CVD-STEMI-08）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急性STEMI患者出院阿司匹林使用率（CVD-STEMI-09）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急性STEMI患者出院P2Y12受体拮抗剂使用率（CVD-STEMI-10）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急性STEMI患者出院β受体阻滞剂使用率（CVD-STEMI-11）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急性STEMI患者出院血管紧张素转换酶抑制剂（ACEI）或血管紧张素Ⅱ受体拮抗剂（ARB）使用率（CVD-STEMI-12）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急性STEMI患者出院他汀类药物使用率（CVD-STEMI-13）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急性STEMI患者住院死亡率（CVD-STEMI-14）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急性STEMI患者出院后30天内非计划再入院率（CVD-STEMI-15）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急性STEMI患者30天死亡率（CVD-STEMI-16）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心房颤动</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非瓣膜性心房颤动（房颤）患者血栓栓塞风险评估率（CVD-AF-01）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非瓣膜性房颤患者出院抗凝药物使用率（CVD-AF-02）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瓣膜性房颤患者出院华法林使用率（CVD-AF-03）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房颤患者出血风险评估率（CVD-AF-04）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房颤患者左心耳封堵术并发症发生率（CVD-AF-05）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心力衰竭患者入院24小时内利钠肽检测率（CVD-HF-01）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心力衰竭患者入院48小时内心脏功能评估率（CVD-HF-02）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心力衰竭伴容量超负荷患者住院期间利尿剂治疗率（CVD-HF-03）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心力衰竭患者出院血管紧张素转化酶抑制剂（ACEI）或血管紧张素受体阻断剂（ARB）或血管紧张素受体脑啡肽酶抑制剂（ARNI）使用率（CVD-HF-04）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心力衰竭患者出院β受体阻滞剂使用率（CVD-HF-05）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心力衰竭患者出院醛固酮受体拮抗剂使用率（CVD-HF-06）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心力衰竭患者住院期间心脏再同步化治疗（CRT）使用率（CVD-HF-07）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心力衰竭患者住院死亡率（CVD-HF-08）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心力衰竭患者出院30天随访率（CVD-HF-09）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心力衰竭患者出院后30天内心力衰竭再入院率（CVD-HF-10）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心力衰竭患者出院后30天死亡率（CVD-HF-11）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动态血压监测率（CVD-HT-01）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心血管风险评估率（CVD-HT-02）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原发性醛固酮增多症肾素醛固酮检测规范率（CVD-PA-03）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原发性醛固酮增多症确诊试验开展率（CVD-PA-04）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冠状动脉旁路移植术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单纯冠状动脉旁路移植术住院死亡率（CVD-CABG-01）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单纯冠状动脉旁路移植术后机械通气时间大于等于24小时发生率（CVD-CABG-02）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单纯冠状动脉旁路移植术后胸骨深部感染发生率（CVD-CABG-03）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单纯冠状动脉旁路移植术后脑卒中发生率（CVD-CABG-04）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单纯冠状动脉旁路移植术非计划二次手术率（CVD-CABG-05）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单纯冠状动脉旁路移植术后急性肾衰竭发生率（CVD-CABG-06）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单纯冠状动脉旁路移植术前24小时β受体阻滞剂使用率（CVDCABG-07）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单纯冠状动脉旁路移植术围术期输血率（CVD-CABG-08）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单纯冠状动脉旁路移植术中乳内动脉血管桥使用率（CVD-CABG-09）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单纯冠状动脉旁路移植术后24小时内阿司匹林使用率（CVD-CABG-10）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单纯冠状动脉旁路移植术出院他汀类药物使用率（CVD-CABG-11）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单纯冠状动脉旁路移植术出院阿司匹林使用率（CVD-CABG-12）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单纯冠状动脉旁路移植术出院β受体阻滞剂使用率（CVD-CABG-13）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二尖瓣手术住院死亡率（CVD-MVS-01）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二尖瓣手术后机械通气时间大于等于24小时发生率（CVD-MVS-02）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二尖瓣手术后胸骨深部感染发生率（CVD-MVS-03）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二尖瓣手术后脑卒中发生率（CVD-MVS-04）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二尖瓣手术非计划二次手术率（CVD-MVS-05）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二尖瓣手术后急性肾衰竭发生率（CVD-MVS-06）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因退行性病变导致二尖瓣关闭不全的患者二尖瓣修复术治疗率（CVD-MVS-07）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二尖瓣手术出院抗凝药物使用率（CVD-MVS-08）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二尖瓣手术术中经食道超声使用率（CVD-MVS-09）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主动脉瓣手术住院死亡率（CVD-AVS-01）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主动脉瓣手术后机械通气时间大于等于24小时发生率（CVD-AVS-02）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主动脉瓣手术后胸骨深部感染发生率（CVD-AVS-03）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主动脉瓣手术后脑卒中发生率（CVD-AVS-04）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主动脉瓣手术非计划二次手术率（CVD-AVS-05）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主动脉瓣手术后急性肾衰竭发生率（CVD-AVS-06）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主动脉瓣手术出院抗凝药物使用率（CVD-AVS-07）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主动脉瓣手术术中经食道超声使用率（CVD-AVS-08）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主动脉瓣置换术人工瓣有效瓣膜面积指数大于0.85cm2/m2发生率（CVD-AVS-09）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主动脉腔内修复术住院死亡率（CVD-EAR-01）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主动脉腔内修复术后机械通气时间大于等于24小时发生率（CVD-EAR-02）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主动脉腔内修复术非计划二次手术率（CVD-EAR-03）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主动脉腔内修复术后内漏发生率（CVD-EAR-04）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主动脉腔内修复术后脑卒中发生率（CVD-EAR-05）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主动脉腔内修复术后急性肾衰竭发生率（CVD-EAR-06）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主动脉腔内修复术后脊髓损伤发生率（CVD-EAR-07）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主动脉腔内修复术后心肌梗死发生率（CVD-EAR-08）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主动脉腔内修复术30天内CTA复查率（CVD-EAR-09）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主动脉腔内修复术后30天随访率（CVD-EAR-10）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主动脉腔内修复术前β受体阻滞剂使用率（CVD-EAR-11）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主动脉腔内修复术前他汀类药物使用率（CVD-EAR-12）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先心病介入治疗技术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先心病介入治疗成功率（CVD-CHD-01）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先心病介入治疗后严重房室传导阻滞发生率（CVD-CHD-02）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先心病介入治疗封堵器移位或脱落发生率（CVD-CHD-03）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先心病介入治疗溶血发生率（CVD-CHD-04）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先心病介入治疗心脏压塞发生率（CVD-CHD-05）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先心病介入治疗输血率（CVD-CHD-06）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先心病介入治疗非计划二次手术率（CVD-CHD-07）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先心病介入治疗住院死亡率（CVD-CHD-08）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冠心病介入治疗技术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冠脉介入治疗术后即刻冠状动脉造影成功率（CVD-PCI-01）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冠脉介入治疗临床成功率（CVD-PCI-02）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冠脉介入治疗住院死亡率（CVD-PCI-03）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择期冠脉介入治疗住院死亡率（CVD-PCI-04）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冠脉介入治疗严重并发症发生率（CVD-PCI-05）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STEMI患者发病12小时内接受直接PCI率（CVD-PCI-06）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行直接PCI的STEMI患者到院至导丝通过靶血管（DTD）平均时间（CVD-PCI-07）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接受PCI治疗的非ST段抬高型急性冠脉综合征（NSTEACS）患者进行危险分层的比率（CVD-PCI-08）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例次平均支架数（CVD-PCI-09）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冠脉介入治疗术前双重抗血小板药物使用率（CVD-PCI-10）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冠脉介入治疗住院期间他汀类药物使用率（CVD-PCI-11）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心律失常介入治疗技术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心脏植入型电子器械（CIED）植入术住院死亡率（CVD-CIED-01）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CIED植入术心脏压塞发生率（CVD-CIED-02）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CIED植入术导线脱位发生率（CVD-CIED-03）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阵发性室上性心动过速（PSVT）导管消融治疗成功率（CVD-CAIT-04）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导管消融治疗后严重房室传导阻滞发生率（CVD-CAIT-05）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导管消融治疗心脏压塞发生率（CVD-CAIT-06）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导管消融治疗住院死亡率（CVD-CAIT-07）</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（5）康复医学专业医疗质量控制指标（2022 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4607"/>
        <w:gridCol w:w="4314"/>
      </w:tblGrid>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康复医学科床位占比（REH-RES-01）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康复医学科医师床配比（REH-HR-01）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康复医学科护士床配比（REH-HR-02）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康复医学科治疗师床配比（REH-HR-03）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脑卒中患者早期康复介入率（REH-ER-01）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脊髓损伤患者早期康复介入率（REH-ER-02）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髋、膝关节置换术后患者早期康复介入率（REH-ER-03）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日常生活活动能力（ADL）改善率（REH-ADL-01）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脊髓损伤患者 ADL 改善率（REH-ADL-02）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脑卒中患者 ADL 改善率（REH-ADL-03）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31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康复评定率</w:t>
            </w: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脑卒中患者运动功能评定率（REH-EVA-01）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脑卒中患者言语功能评定率（REH-EVA-02）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脑卒中患者吞咽功能评定率（REH-EVA-03）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脊髓损伤患者神经功能评定率（REH-EVA-04）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髋、膝关节置换术后患者功能评定率（REH-EVA-05）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住院患者静脉输液使用率（REH-IVG-01）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231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并发症和不良事件发生率及预防实施率</w:t>
            </w: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脑卒中后肩痛发生率（REH-AE-01）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脑卒中后肩痛预防实施率（REH-AE-02）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脊髓损伤患者泌尿系感染发生率（REH-AE-03）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脊髓损伤神经源性膀胱患者间歇性导尿实施率（REH-AE-04）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住院患者静脉血栓栓塞症发生率（REH-AE-05）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651"/>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住院患者静脉血栓栓塞症规范预防率（REH-AE-06）</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（6）麻醉专业医疗质量控制指标（2022 年版）</w:t>
      </w:r>
      <w:r>
        <w:rPr>
          <w:rFonts w:hint="eastAsia" w:ascii="宋体" w:hAnsi="宋体" w:eastAsia="宋体" w:cs="宋体"/>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rHeight w:val="44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9"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麻醉科医护比（AQI-DNR-01）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麻醉医师人均年麻醉例次数（AQI-ACC-02）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手术室外麻醉占比（AQI-PAO-03）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择期手术麻醉前访视率（AQI-PVR-04）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入室后手术麻醉取消率（AQI-CRB-05）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麻醉开始后手术取消率（AQI-CRA-06）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全身麻醉术中体温监测率（AQI-TMR-07）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术中主动保温率（AQI-AWR-08）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术中自体血输注率（AQI-ATR-09）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手术麻醉期间低体温发生率（AQI-IHT-10）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术中牙齿损伤发生率（AQI-IDI-11）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麻醉期间严重反流误吸发生率（AQI-IRA-12）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计划外建立人工气道发生率（AQI-IUA-13）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术中心脏骤停率（AQI-ICA-14）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麻醉期间严重过敏反应发生率（AQI-ISA-15）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全身麻醉术中知晓发生率（AQI-IAG-16）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PACU 入室低体温发生率（AQI-IHP-17）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麻醉后 PACU 转出延迟率（AQI-IDP-18）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非计划二次气管插管率（AQI-IUR-19）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非计划转入 ICU 率（AQI-IUI-20）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术后镇痛满意率（AQI-ASR-21）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区域阻滞麻醉后严重神经并发症发生率（AQI-ISN-22）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全身麻醉气管插管拔管后声音嘶哑发生率（AQI-IHE-23）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麻醉后新发昏迷发生率（AQI-INC-24）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麻醉后 24 小时内患者死亡率（AQI-TPM-25）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阴道分娩椎管内麻醉使用率（AQI-EPD-26）</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（7）呼吸内科专业医疗质量控制指标（2019 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2040"/>
        <w:gridCol w:w="6866"/>
      </w:tblGrid>
      <w:tr>
        <w:trPr>
          <w:trHeight w:val="340"/>
        </w:trPr>
        <w:tc>
          <w:tcPr>
            <w:tcW w:w="528" w:type="dxa"/>
            <w:vAlign w:val="center"/>
            <w:textDirection w:val="lrTb"/>
            <w:noWrap/>
          </w:tcPr>
          <w:p>
            <w:pPr>
              <w:pStyle w:val="651"/>
              <w:numPr>
                <w:ilvl w:val="0"/>
                <w:numId w:val="0"/>
              </w:numPr>
              <w:jc w:val="cente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gridSpan w:val="2"/>
            <w:tcW w:w="8906" w:type="dxa"/>
            <w:vAlign w:val="center"/>
            <w:textDirection w:val="lrTb"/>
            <w:noWrap/>
          </w:tcPr>
          <w:p>
            <w:pPr>
              <w:pStyle w:val="651"/>
              <w:numPr>
                <w:ilvl w:val="0"/>
                <w:numId w:val="0"/>
              </w:numPr>
              <w:jc w:val="cente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指标名称</w:t>
            </w:r>
            <w:r>
              <w:rPr>
                <w:rFonts w:hint="eastAsia" w:ascii="宋体" w:hAnsi="宋体" w:eastAsia="宋体" w:cs="宋体"/>
                <w:b/>
                <w:bCs/>
                <w:sz w:val="24"/>
                <w:szCs w:val="24"/>
                <w:lang w:val="en-US" w:eastAsia="zh-CN"/>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02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急性肺血栓栓塞症</w:t>
            </w: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急性肺血栓栓塞症（PTE）患者确诊检查比例（RES-PTE-01）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患者行深静脉血栓相关检查比例（RES-PTE-02）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患者行危险分层相关检查比例（RES-PTE-03）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住院期间行溶栓治疗的高危急性 PTE 患者比例（RES-PTE-04）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患者住院期间抗凝治疗比例（RES-PTE-05）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患者住院死亡率（RES-PTE-06）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患者住院期间发生大出血比例（RES-PTE-07）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02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慢性阻塞性肺疾病急性加重</w:t>
            </w: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慢阻肺急性加重患者住院期间行动脉血气分析比例（RES COPD-01）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慢阻肺急性加重患者住院期间胸部影像学检查比例（RES COPD-02）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慢阻肺急性加重患者住院期间心电图检查比例（RES-COPD-03）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慢阻肺急性加重患者住院期间超声心动图检查比例（RES COPD-04）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慢阻肺急性加重患者住院期间抗感染治疗前病原学送检比例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（RES-COPD-05）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慢阻肺急性加重患者住院期间雾化吸入支气管扩张剂应用比例（RES-COPD-06）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慢阻肺急性加重患者住院死亡率（RES-COPD-07）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使用有创机械通气的慢阻肺急性加重患者死亡率（RES-COPD-08）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02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住院成人社区获得性肺炎</w:t>
            </w: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住院成人社区获得性肺炎（CAP）患者进行 CAP 严重程度评估的比例（RES-CAP-01）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低危 CAP 患者住院比例（RES-CAP-02）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CAP 患者住院期间抗感染治疗前病原学送检比例（RES-CAP-03）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CAP 患者住院死亡率（RES-CAP-04）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 CAP 患者接受机械通气的比例（RES-CAP-05）</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（8）疼痛专业医疗质量控制指标（2023年版）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41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疼痛科医师床位比（PM-SI-01）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疼痛科护士床位比（PM-SI-02）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住院患者入院8h内疼痛程度评估完成率（PM-SI-03）</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带状疱疹后神经痛（PHN）初诊患者一线药物使用率（PM-PHN-01）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PHN治疗有效率（PM-PHN-02）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PHN患者手术并发症发生率（PM-PHN-03）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PHN患者精神心理评估率（PM-PHN-04）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癌症疼痛患者24h内疼痛全面评估完成率（PM-CP-01）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中重度癌症疼痛患者阿片类药物使用率（PM-CP-02）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癌症疼痛治疗有效率（PM-CP-03）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癌症疼痛患者术后院内死亡率（PM-CP-04）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中重度癌症疼痛患者7天随访率（PM-CP-05）</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（9）病案管理质量控制指标 （2021年版）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555"/>
        <w:gridCol w:w="6350"/>
      </w:tblGrid>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人力资源配置指标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住院病案管理人员月均负担出院患者病历数（MER-HR-01）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门诊病案管理人员月均负担门诊患者病历数（MER-HR-02）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病案编码人员月均负担出院患者病历数（MER-HR-03）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病历书写时效性指标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入院记录24小时内完成率（MER-TL-01）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手术记录24小时内完成率（MER-TL-02）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出院记录24小时内完成率（MER-TL-03）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病案首页24小时内完成率（MER-TL-04）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重大检查记录符合率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CT/MRI检查记录符合率（MER-ME-01）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病理检查记录符合率（MER-ME-02）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细菌培养检查记录符合率（MER-ME-03）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诊疗行为记录符合率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抗菌药物使用记录符合率（MER-D&amp;T-01）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恶性肿瘤化学治疗记录符合率（MER-D&amp;T-02）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恶性肿瘤放射治疗记录符合率（MER-D&amp;T-03）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手术相关记录完整率（MER-D&amp;T-04）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植入物相关记录符合率（MER-D&amp;T-05）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临床用血相关记录符合率（MER-D&amp;T-06）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医师查房记录完整率（MER-D&amp;T-07）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患者抢救记录及时完成率（MER-D&amp;T-08）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病历归档质量指标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出院患者病历2日归档率（MER-TQ-01）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出院患者病历归档完整率（MER-TQ-02）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主要诊断填写正确率（MER-TQ-03）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主要诊断编码正确率（MER-TQ-04）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主要手术填写正确率（MER-TQ-05）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主要手术编码正确率（MER-TQ-06）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不合理复制病历发生率（MER-TQ-07）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知情同意书规范签署率（MER-TQ-08）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甲级病历率（MER-TQ-09）</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（10）门诊管理医疗质量控制指标 （2024年版）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门诊电子病历使用率（OQI-EMR-01）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门诊标准诊断使用率（OQI-SD-02）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门诊准时出诊率（OQI-OC-03）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门诊停诊率（OQI-OC-04）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门诊化疗病历记录完整率（OQI-CTH-05）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门诊化疗严重不良反应发生率（OQI-CTH-06）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门诊化疗患者静脉治疗相关不良事件发生率（OQI-CTH-07）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门诊危急值30分钟内通报完成率（OQI-AE-08）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门诊静脉采血相关差错发生率（OQI-AE-09）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门诊手术并发症发生率（OQI-AE-10）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每千门诊诊疗人次不良事件发生率（OQI-AE-11）</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（11）急诊医学专业 医疗质量控制指标（2024年版）</w:t>
      </w:r>
      <w:r>
        <w:rPr>
          <w:rFonts w:hint="eastAsia" w:ascii="宋体" w:hAnsi="宋体" w:eastAsia="宋体" w:cs="宋体"/>
          <w:b/>
          <w:bCs/>
          <w:sz w:val="24"/>
          <w:szCs w:val="24"/>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4333"/>
        <w:gridCol w:w="4571"/>
      </w:tblGrid>
      <w:tr>
        <w:trPr>
          <w:trHeight w:val="41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4"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急诊科医患比（EM-SI-01）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急诊科护患比（EM-SI-02）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抢救室滞留时间（中位数）（EM-ME-03）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急诊分级分诊执行率（EM-ME-04）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急诊IV级患者静脉输液使用率（EM-ME-05）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心肺复苏（CPR）质量监测率（EM-CA-06）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176"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心脏骤停复苏成功率（EM-CA-07）</w:t>
            </w: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院前心脏骤停复苏成功率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17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院内心脏骤停复苏成功率</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复苏成功后昏迷患者目标体温管理实施率（EM-CA-08）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176"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心脏骤停患者出院存活率（EM-CA-09）</w:t>
            </w: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院前心脏骤停患者出院存活率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176"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院内心脏骤停患者出院存活率</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脓毒性休克1小时内抗菌药物使用率（EM-SS-10）</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急诊重症监护病房（EICU）脓毒性休克患者病死率（EM-SS-11）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急诊创伤患者创伤量化评估率（EM-ET-12）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严重创伤患者就诊－手术时间（中位数）（EM-ET-13）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严重创伤患者24小时存活率（EM-ET-14）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急诊中心静脉置管早期血管并发症发生率（EM-EP-15）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体外膜肺氧合辅助心肺复苏（ECPR）实施时间（中位数）（EM-EP-16）</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（12）肿瘤专业 质量控制指标（2023年版）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010"/>
        <w:gridCol w:w="7895"/>
      </w:tblGrid>
      <w:tr>
        <w:trPr>
          <w:trHeight w:val="581"/>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乳腺癌患者首次治疗前临床 TNM 分期诊断率（CA-BC-01）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乳腺癌患者首次治疗前临床 TNM 分期检查评估策略符合率（CA-BC-02）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乳腺癌患者非手术治疗前病理学诊断率（CA-BC-03）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早期乳腺癌患者前哨淋巴结活检率（CA-BC-04）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乳腺癌患者保乳术后放疗率（CA-BC-05）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乳腺癌患者改良根治术后放疗率（CA-BC-06）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局部晚期乳腺癌患者新辅助治疗率（CA-BC-07）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晚期转移性乳腺癌患者首次治疗全身系统性治疗率（CA-BC-08）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激素受体阳性乳腺癌患者术后接受辅助内分泌治疗率（CA-BC-09）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接受抗HER-2靶向治疗的乳腺癌患者中HER-2阳性率（CA-BC-10）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腋窝淋巴结清扫充分率（CA-BC-11）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乳腺癌I类切口手术部位感染率（CA-BC-12）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肺癌患者首次治疗前临床TNM分期诊断率（CA-LC-01）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肺癌患者首次治疗前临床TNM分期检查评估策略符合率（CA-LC-02）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肺癌患者非手术治疗前病理学诊断率（CA-LC-03）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肺癌患者术后病理TNM分期率（CA-LC-04）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肺癌切除术术中淋巴结清扫率（CA-LC-05）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肺癌切除术术中纵隔淋巴结清扫充分率（CA-LC-06）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III期肺癌患者初始治疗综合治疗率（CA-LC-07）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肺癌患者精确放疗率（CA-LC-08）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Ⅳ期肺癌患者首次抗肿瘤药物治疗一线推荐方案采用率（CA-LC-09）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肺癌患者接受分子靶向治疗前基因检测阳性率（CA-LC-10）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肺癌患者非手术治疗后疗效评价率（CA-LC-11）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肺癌手术患者肿瘤完整切除（R0）率（CA-LC-12）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肺癌患者术后院内死亡率（CA-LC-13）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肝细胞癌患者首次治疗前临床中国肝癌分期诊断率（CA-CNLC-01）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肝细胞癌患者首次治疗前临床中国肝癌分期检查策略符合率（CA-CNLC-02）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肝内胆管癌患者首次治疗前临床TNM分期诊断率（CA-CNLC-03）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肝内胆管癌患者首次治疗前临床TNM分期检查策略符合率（CA-CNLC-04）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肝内胆管癌患者首次非手术治疗前病理学诊断率（CA-CNLC-05）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肝内胆管癌患者术后病理TNM分期率（CA-CNLC-06）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肝内胆管癌患者术中淋巴结清扫率（CA-CNLC-07）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肝癌手术患者微创手术率（CA-CNLC-08）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肝癌患者围手术期死亡率（CA-CNLC-09）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中国肝癌分期IIb和IIIa期肝细胞癌患者首次治疗TACE治疗率（CA-CNLC-10）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中晚期肝癌患者综合治疗率（CA-CNLC-11）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肝癌患者精确放疗率（CA-CNLC-12）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宫颈癌患者首次治疗前临床FIGO分期诊断率（CA-CC-01）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宫颈癌患者首次治疗前临床FIGO分期检查评估策略符合率（CA-CC-02）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宫颈癌患者首次治疗前病理学诊断率（CA-CC-03）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早期宫颈癌根治性手术治疗患者淋巴结切除率（CA-CC-04）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术后病理存在高危因素的宫颈癌患者接受同步放化疗率（CA-CC-05）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术后病理存在符合Sedlis标准的中危因素宫颈癌患者放疗率（CA-CC-06）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中晚期宫颈癌患者首次治疗同步放化疗率（CA-CC-07）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宫颈癌患者精确体外放疗率（CA-CC-08）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宫颈癌患者精确近距离放疗率（CA-CC-09）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宫颈癌患者增敏化疗采用标准方案率（CA-CC-10）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宫颈癌手术患者并发症发生率（CA-CC-11）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宫颈癌放疗患者近期并发症发生率（CA-CC-12）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胃癌患者首次治疗前临床TNM分期诊断率（CA-GC-01）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胃癌患者首次治疗前临床TNM分期检查评估策略符合率（CA-GC-02）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胃癌患者首次治疗前病理学诊断率（CA-GC-03）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胃癌患者术后病理TNM分期率（CA-GC-04）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接受内镜治疗的胃癌患者术后切缘阳性率（CA-GC-05）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I-III期胃癌患者手术治疗术中淋巴结清扫充分率（CA-GC-06）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转移性胃癌患者首次治疗行手术治疗率（CA-GC-07）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胃癌手术患者术前完成营养风险筛查与评估率（CA-GC-08）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晚期转移性胃癌患者首次抗肿瘤药物治疗一线推荐方案采用率（CA-GC-09）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胃癌患者非手术治疗后疗效评价率（CA-GC-10）</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晚期转移性胃癌患者首次抗肿瘤药物治疗前病理生物标志物诊断率（CA-GC-11）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结直肠癌患者首次治疗前临床TNM分期诊断率（CA-CRC-01）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结直肠癌患者首次治疗前临床TNM分期检查评估策略符合率（CA-CRC-02）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结直肠癌患者非手术治疗前病理学诊断率（CA-CRC-03）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首诊局部进展期直肠癌患者新辅助治疗率（CA-CRC-04）</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结直肠癌患者靶向治疗和（或）免疫治疗前行基因检测和（或）分子检测率（CA-CRC-05）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术中淋巴结清扫充分率（CA-CRC-06）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首诊转移性结直肠癌患者首次化疗一线方案采用率（CA-CRC-07）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结直肠癌患者手术死亡率（CA-CRC-08）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结直肠癌患者术后C级吻合口瘘发生率（CA-CRC-09）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结直肠癌患者术后病理TNM分期率（CA-CRC-10）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结直肠癌患者非手术治疗后疗效评价率（CA-CRC-11）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结直肠癌手术患者非计划二次手术率（CA-CRC-12）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食管癌患者首次治疗前临床TNM分期诊断率（CA-EC-01）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食管癌患者首次治疗前临床TNM分期检查评估策略符合率（CA-EC-02）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食管癌患者首次抗肿瘤治疗前病理学诊断率（CA-EC-03）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食管胃交界部癌Siewert分型率（CA-EC-04）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食管癌患者新辅助治疗后手术治疗前分期评估率（CA-EC-05）</w:t>
            </w:r>
            <w:r>
              <w:rPr>
                <w:rFonts w:hint="eastAsia" w:ascii="宋体" w:hAnsi="宋体" w:eastAsia="宋体" w:cs="宋体"/>
                <w:i w:val="0"/>
                <w:iCs w:val="0"/>
                <w:color w:val="000000"/>
                <w:sz w:val="24"/>
                <w:szCs w:val="24"/>
                <w:u w:val="none"/>
              </w:rPr>
            </w:r>
            <w:r/>
          </w:p>
        </w:tc>
      </w:tr>
      <w:tr>
        <w:trPr>
          <w:trHeight w:val="40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临床分期为T</w:t>
            </w:r>
            <w:r>
              <w:rPr>
                <w:rFonts w:hint="eastAsia" w:ascii="宋体" w:hAnsi="宋体" w:eastAsia="宋体" w:cs="宋体"/>
                <w:i w:val="0"/>
                <w:iCs w:val="0"/>
                <w:color w:val="000000"/>
                <w:sz w:val="24"/>
                <w:szCs w:val="24"/>
                <w:u w:val="none"/>
                <w:vertAlign w:val="subscript"/>
                <w:lang w:val="en-US" w:eastAsia="zh-CN" w:bidi="ar"/>
              </w:rPr>
              <w:t xml:space="preserve">3-4</w:t>
            </w:r>
            <w:r>
              <w:rPr>
                <w:rFonts w:hint="eastAsia" w:ascii="宋体" w:hAnsi="宋体" w:eastAsia="宋体" w:cs="宋体"/>
                <w:color w:val="000000"/>
                <w:sz w:val="24"/>
                <w:szCs w:val="24"/>
                <w:u w:val="none"/>
                <w:lang w:val="en-US" w:eastAsia="zh-CN" w:bidi="ar"/>
              </w:rPr>
              <w:t xml:space="preserve">N0和T</w:t>
            </w:r>
            <w:r>
              <w:rPr>
                <w:rFonts w:hint="eastAsia" w:ascii="宋体" w:hAnsi="宋体" w:eastAsia="宋体" w:cs="宋体"/>
                <w:i w:val="0"/>
                <w:iCs w:val="0"/>
                <w:color w:val="000000"/>
                <w:sz w:val="24"/>
                <w:szCs w:val="24"/>
                <w:u w:val="none"/>
                <w:vertAlign w:val="subscript"/>
                <w:lang w:val="en-US" w:eastAsia="zh-CN" w:bidi="ar"/>
              </w:rPr>
              <w:t xml:space="preserve">1-4a</w:t>
            </w:r>
            <w:r>
              <w:rPr>
                <w:rFonts w:hint="eastAsia" w:ascii="宋体" w:hAnsi="宋体" w:eastAsia="宋体" w:cs="宋体"/>
                <w:color w:val="000000"/>
                <w:sz w:val="24"/>
                <w:szCs w:val="24"/>
                <w:u w:val="none"/>
                <w:lang w:val="en-US" w:eastAsia="zh-CN" w:bidi="ar"/>
              </w:rPr>
              <w:t xml:space="preserve">N+期的食管癌患者新辅助治疗率（CA-EC-06）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食管癌患者根治性手术淋巴结清扫充分率（CA-EC-07）</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晚期食管/食管胃交界部腺癌患者首次抗肿瘤药物治疗前完成HER-2检测率（CA-EC-08）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食管癌患者精确放疗率（CA-EC-09）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食管癌根治性放疗剂量规范率（CA-EC-10）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甲状腺癌患者手术治疗前甲状腺血清学检测评估率（CA-TC-01）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甲状腺癌患者手术前细胞病理学检查率（CA-TC-02）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甲状腺癌患者首次治疗前临床TNM分期诊断率（CA-TC-03）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甲状腺癌患者首次治疗前临床TNM分期检查评估策略符合率（CA-TC-04）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甲状腺癌全切术后甲状旁腺功能评估率（CA-TC-05）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甲状腺癌患者术后病理TNM分期率（CA-TC-06）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分化型甲状腺癌131I治疗前生化评估率（CA-TC-07）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分化型甲状腺癌131I治疗后131I全身显像率（CA-TC-08）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甲状腺癌术后血肿清除治疗率（CA-TC-09）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甲状腺癌术后切口感染率（CA-TC-10）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甲状腺癌患者术后发声质量评估率（CA-TC-11）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前列腺癌患者首次治疗前临床TNM分期诊断率（CA-PCA-01）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前列腺癌患者首次治疗前临床TNM分期检查评估策略符合率（CA-PCA-02）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前列腺癌患者首次非手术治疗前病理学诊断率（CA-PCA-03）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前列腺癌患者术后病理TNM分期率（CA-PCA-04）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M0期前列腺癌患者根治性精确放疗率（CA-PCA-05）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III期前列腺癌患者初始治疗行综合治疗率（CA-PCA-06）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IV期前列腺癌患者首次化疗一线方案采用率（CA-PCA-07）</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转移性激素敏感性前列腺癌患者首次抗肿瘤药物治疗采用一线方案率（CA-PCA-08）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前列腺癌患者非手术治疗后疗效评价率（CA-PCA-09）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前列腺癌患者围手术期死亡率（CA-PCA-10）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肾癌患者首次治疗前临床TNM分期诊断率（CA-RCC-01）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肾癌患者首次治疗前临床TNM分期检查评估策略符合率（CA-RCC-02）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肾癌患者首次非手术治疗前病理学诊断率（CA-RCC-03）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肾癌患者术后病理TNM分期率（CA-RCC-04）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肾癌手术患者接受微创手术治疗率（CA-RCC-05）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T1a期肾癌患者接受肾部分切除手术率（CA-RCC-06）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肾癌手术患者术中及术后输血率（CA-RCC-07）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肾癌患者围手术期死亡率（CA-RCC-08）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晚期肾癌患者接受系统治疗率（CA-RCC-09）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肾癌患者系统治疗后疗效评价率（CA-RCC-10）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肾癌手术患者并发症发生率（CA-RCC-11）</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（13）产科专业医疗质量控制指标（2019年版）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3813"/>
        <w:gridCol w:w="5094"/>
      </w:tblGrid>
      <w:tr>
        <w:trPr>
          <w:trHeight w:val="431"/>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剖宫产/初产妇剖宫产率（OB-CSR/PCS-01）</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剖宫产率（OB-CSR-01）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初产妇剖宫产率（OB-PCS-01）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阴道分娩椎管内麻醉使用率（OB-EPD-02）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早产/早期早产率（OB-PB/EPB-03）</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早产率（OB-PB-03）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早期早产率（OB-EPB-03）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巨大儿发生率（OB-MS-04）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严重产后出血发生率（OB-PPH-05）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严重产后出血患者输血率（OB-PPT-06）</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孕产妇死亡活产比（OB-MMR-07）</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妊娠相关子宫切除率（OB-HYS-08）</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产后或术后非计划再次手术率（OB-ROP-09）</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足月新生儿5分钟Apgar评分＜7分发生率（OB-NA-10）</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（14）神经系统疾病医疗质量控制指标（2020年版）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1579"/>
        <w:gridCol w:w="7342"/>
      </w:tblGrid>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gridSpan w:val="2"/>
            <w:tcW w:w="892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指标名称</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癫痫与惊厥性癫痫持续状态</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癫痫发作频率记录率（NEU-EPI-01）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抗癫痫药物规范服用率（NEU-EPI-02）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抗癫痫药物严重不良反应发生率（NEU-EPI-03）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癫痫患者病因学检查完成率（NEU-EPI-04）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癫痫患者精神行为共患病筛查率（NEU-EPI-05）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育龄期女性癫痫患者妊娠宣教执行率（NEU-EPI-06）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癫痫患者择期手术在院死亡率（NEU-EPI-07）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癫痫患者术后并发症发生率（NEU-EPI-08）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癫痫患者术后病理明确率（NEU-EPI-09）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癫痫手术患者出院时继续抗癫痫药物治疗率（NEU-EPI-10）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惊厥性癫痫持续状态发作控制率（NEU-EPI-11）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惊厥性癫痫持续状态初始治疗标准方案应用率（NEU-EPI-12）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难治性惊厥性癫痫持续状态患者麻醉药物应用率（NEU-EPI-13）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难治性惊厥性癫痫持续状态患者气管插管或机械通气应用率（NEU-EPI-14）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在院惊厥性癫痫持续状态患者脑电监测率（NEU-EPI-15）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在院惊厥性癫痫持续状态患者影像检查率（NEU-EPI-16）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在院惊厥性癫痫持续状态患者脑脊液检查率（NEU-EPI-17）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在院期间惊厥性癫痫持续状态患者病因明确率（NEU-EPI-18）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惊厥性癫痫持续状态患者在院死亡率（NEU-EPI-19）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惊厥性癫痫持续状态患者随访（出院30天内）死亡率（NEU-EPI-20）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脑梗死患者神经功能缺损评估率（NEU-STK-01）</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发病24小时内脑梗死患者急诊就诊30分钟内完成头颅CT影像学检查率（NEU-STK-02）</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发病24小时内脑梗死患者急诊就诊45分钟内临床实验室检查完成率（NEU-STK-03）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发病4.5小时内脑梗死患者静脉溶栓率（NEU-STK-04）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静脉溶栓的脑梗死患者到院到给药时间小于60分钟的比例（NEU-STK-05）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发病6小时内前循环大血管闭塞性脑梗死患者血管内治疗率（NEU-STK-06）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脑梗死患者入院48小时内抗血小板药物治疗率（NEU-STK-07）</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非致残性脑梗死患者发病24小时内双重强化抗血小板药物治疗率（NEU-STK-08）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不能自行行走的脑梗死患者入院48小时内深静脉血栓预防率（NEU-STK-09）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脑梗死患者住院7天内血管评价率（NEU-STK-10）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住院期间脑梗死患者他汀类药物治疗率（NEU-STK-11）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住院期间合并房颤的脑梗死患者抗凝治疗率（NEU-STK-12）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脑梗死患者吞咽功能筛查率（NEU-STK-13）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脑梗死患者康复评估率（NEU-STK-14）</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出院时脑梗死患者抗栓/他汀类药物治疗率（NEU-STK-15）</w:t>
            </w:r>
            <w:r>
              <w:rPr>
                <w:rFonts w:hint="eastAsia" w:ascii="宋体" w:hAnsi="宋体" w:eastAsia="宋体" w:cs="宋体"/>
                <w:i w:val="0"/>
                <w:iCs w:val="0"/>
                <w:color w:val="000000"/>
                <w:sz w:val="24"/>
                <w:szCs w:val="24"/>
                <w:u w:val="none"/>
              </w:rPr>
            </w:r>
            <w:r/>
          </w:p>
        </w:tc>
      </w:tr>
      <w:tr>
        <w:trPr>
          <w:trHeight w:val="10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出院时合并高血压/糖尿病/房颤的脑梗死患者降压/降糖药物/抗凝治疗率（NEU-STK-16）</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脑梗死患者住院死亡率（NEU-STK-17）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发病24小时内脑梗死患者血管内治疗率（NEU-STK-18）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发病24小时内脑梗死患者血管内治疗术前影像学评估率（NEU-STK-19）</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发病24小时内脑梗死患者行血管内治疗90分钟内完成动脉穿刺率（NEU-STK-20）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发病24小时内脑梗死患者行血管内治疗60分钟内成功再灌注率（NEU-STK-21）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发病24小时内脑梗死患者行血管内治疗术后即刻再通率（NEU-STK-22）</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发病24小时内脑梗死患者行血管内治疗术中新发部位栓塞发生率（NEU-STK-23）</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发病24小时内脑梗死患者行血管内治疗术后症状性颅内出发生率（NEU-STK-24）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发病24小时内脑梗死患者行血管内治疗术后90天mRS评估率（NEU-STK-25）</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发病24小时内脑梗死患者行血管内治疗术后90天良好神经功能预后率（NEU-STK-26）</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发病24小时内脑梗死患者行血管内治疗术后死亡率（NEU-STK-27）</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帕金森病</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住院帕金森病患者规范诊断率（NEU-PD-01）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住院帕金森病患者完成头颅MRI或CT检查率（NEU-PD-02）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住院帕金森病患者进行急性左旋多巴试验评测率（NEU-PD-03）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住院帕金森病患者进行临床分期的比例（NEU-PD-04）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住院帕金森病患者全面神经功能缺损评估率（NEU-PD-05）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住院帕金森病患者运动并发症筛查率（NEU-PD-06）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住院帕金森病患者认知功能障碍筛查率（NEU-PD-07）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住院帕金森病体位性低血压筛查率（NEU-PD-08）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合并运动并发症的住院帕金森病患者DBS适应症筛选评估率（NEU-PD-09）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住院帕金森病患者康复评估率（NEU-PD-10）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住院帕金森病患者焦虑症状和抑郁症状筛查率（NEU-PD-11）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颈动脉支架置入术患者术前mRS评估率（NEU-CAS-01）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颈动脉支架置入术患者术前颈动脉无创影像评估率（NEU-CAS-02）</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颈动脉支架置入术手术指征符合率（NEU-CAS-03）</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颈动脉支架置入术患者术前规范化药物治疗率（NEU-CAS-04）</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颈动脉支架置入术保护装置使用率（NEU-CAS-05）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颈动脉支架置入术技术成功率（NEU-CAS-06）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颈动脉支架置入术并发症发生率（NEU-CAS-07）</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颈动脉支架置入术患者出院规范化药物治疗率（NEU-CAS-08）</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颈动脉支架置入术患者卒中和死亡发生率（NEU-CAS-09）</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颈动脉支架置入术患者术后同侧缺血性卒中发生率（NEU-CAS-10）</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脑血管造影术（DSA）前无创影像评估率（NEU-DSA-01）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脑血管造影术中非离子型对比剂应用率（NEU-DSA-02）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脑血管造影术造影时相完整率（NEU-DSA-03）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脑血管造影术造影阳性率（NEU-DSA-04）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脑血管造影术严重并发症发生率（NEU-DSA-05）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脑血管造影术穿刺点并发症发生率（NEU-DSA-06）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脑血管造影术死亡率（NEU-DSA-07）</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（15）肾病专业医疗质量控制指标（2020年版）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2012"/>
        <w:gridCol w:w="6910"/>
      </w:tblGrid>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2"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w:t>
            </w: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肾活检患者术前检查完成率（NEP-IgA-01）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肾脏病理切片染色规范率（NEP-IgA-02）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IgA肾病患者病理分型诊断率（NEP-IgA-03）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IgA肾病患者RAS阻断剂的使用率（NEP-IgA-04）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IgA肾病患者随访完成率（NEP-IgA-05）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IgA肾病患者血压控制达标率（NEP-IgA-06）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肾功能恶化率（NEP-IgA-07）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治疗6个月后24小时尿蛋白&lt;1g的患者比例（NEP-IgA-08）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肾活检严重并发症发生率（NEP-IgA-09）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激素、免疫抑制剂治疗的严重并发症发生率（NEP-IgA-10）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血液净化技术（第一部分 医院感染控制指标）</w:t>
            </w: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治疗室消毒合格率（NEP-D-01）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透析用水生物污染检验合格率（NEP-D-02）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新入血液透析患者血源性传染病标志物检验完成率（NEP-D-03）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维持性血液透析患者血源性传染病标志物定时检验完成率（NEP-D-04）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维持性血液透析患者的乙型肝炎和丙型肝炎发病率（NEP-D-05）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血液净化技术（第二部分 透析质量管理指标）</w:t>
            </w: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血液透析患者尿素清除指数（Kt/V）和尿素下降率（URR）控制率（NEP-D-06）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腹膜透析患者尿素清除指数（Kt/V）及总内生肌酐清除率（Ccr）控制率（NEP-D-07）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透析患者β2微球蛋白定时检验完成率（NEP-D-08）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血液透析患者透析间期体重增长控制率（NEP-D-09）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维持性血液透析患者的动静脉内瘘长期使用率（NEP-D-10）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腹膜透析患者腹膜平衡试验记录定时完成率（NEP-D-11）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腹膜透析退出患者治疗时间（NEP-D-12）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血液净化技术（第三部分 透析并发症管理指标）</w:t>
            </w: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透析患者血常规定时检验率（NEP-D-13）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透析患者血液生化定时检验率（NEP-D-14）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透析患者全段甲状旁腺素（iPTH）定时检验完成率（NEP-D-15）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透析患者的血清铁蛋白和转铁蛋白饱和度定时检验完成（NEP-D-16）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透析患者的血清前白蛋白定时检验完成率（NEP-D-17）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透析患者的C反应蛋白（CRP）定时检验完成率（NEP-D-18）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透析患者高血压控制率（NEP-PD-19）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透析患者肾性贫血控制率（NEP-D-20）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透析患者慢性肾脏病-矿物质与骨异常（CKD-MBD）指标控制率（NEP-D-21）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透析患者血清白蛋白控制率（NEP-D-22）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（16）护理专业医疗质量控制指标（2020年版）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3813"/>
        <w:gridCol w:w="5094"/>
      </w:tblGrid>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床护比（NQI-01）</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医疗机构床护比（NQI-01A）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病区床护比（NQI-01B）</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重症医学科床护比（NQI-01C）</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儿科病区床护比（NQI-01D）</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护患比（NQI-02）</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白班平均护患比（NQI-02A）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夜班平均护患比（NQI-02B）</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每住院患者24小时平均护理时数（NQI-03）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不同级别护士配置占比（NQI-04）</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病区5年以下护士占比（NQI-04A）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病区20年及以上护士占比（NQI-04B）</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护士离职率（NQI-05）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住院患者身体约束率（NQI-06）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住院患者跌倒发生率（NQI-07）</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住院患者跌倒发生率（NQI-07A）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住院患者跌倒伤害占比（NQI-07B）</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住院患者2期及以上院内压力性损伤发生率（NQI-08）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置管患者非计划拔管率（NQI-09）</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气管导管（气管插管、气管切开）非计划拔管率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经口、经鼻胃肠导管非计划拔管率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导尿管非计划拔管率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中心静脉导管（CVC）非计划拔管率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经外周置入中心静脉导管（PICC）非计划拔管率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导管相关感染发生率（NQI-10）</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导尿管相关尿路感染（CAUTI）发生率（NQI-10A）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中心静脉导管（CVC）相关血流感染发生率（NQI-10B）</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经外周置入中心静脉导管（PICC）相关血流感染发生率（NQI-10C）</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呼吸机相关性肺炎（VAP）发生率（NQI-11）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护理级别占比</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特级护理占比</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一级护理占比</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二级护理占比</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三级护理占比</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（17）超声诊断专业医疗质量控制指标（2022年版）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超声医师月均工作量(US-HR-01)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超声仪器质检率（US-EQ-01）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住院超声检查48小时内完成率(US-TL-01)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超声危急值10分钟内通报完成率(US-CV-01)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超声报告书写合格率(US-RE-01)</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乳腺病变超声报告进行乳腺影像报告和数据系统(BI-RADS)分类率（US-RE-BR-01）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门急诊超声报告阳性率(US-DR-01)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住院超声报告阳性率(US-DR-02)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超声筛查中胎儿重大致死性畸形的检出率（US-DR-OB-01）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超声诊断符合率(US-DI-01)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乳腺占位超声诊断准确率(US-DI-BR-01)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颈动脉狭窄（≥50%）超声诊断符合率(US-DI-VA-01)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超声介入相关主要并发症发生率(US-INCO-01)</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（18）临床营养专业医疗质量控制指标（2022年版）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3625"/>
        <w:gridCol w:w="5280"/>
      </w:tblGrid>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营养科医床比（NUT-S-01）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营养科护床比（NUT-S-02）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营养科技床比（NUT-S-03）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住院患者营养风险筛查率（NUT-P-01）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存在营养风险住院患者营养治疗率（NUT-P-02）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糖尿病住院患者营养评估率（NUT-P-03）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糖尿病住院患者营养治疗率（NUT-P-04）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使用胰岛素治疗的糖尿病住院患者营养治疗后胰岛素使用剂量减少率（NUT-O-01）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820"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营养治疗不良事件发生率（NUT-O-02）</w:t>
            </w:r>
            <w:r>
              <w:rPr>
                <w:rFonts w:hint="eastAsia" w:ascii="宋体" w:hAnsi="宋体" w:eastAsia="宋体" w:cs="宋体"/>
                <w:i w:val="0"/>
                <w:iCs w:val="0"/>
                <w:color w:val="000000"/>
                <w:sz w:val="24"/>
                <w:szCs w:val="24"/>
                <w:u w:val="none"/>
              </w:rPr>
            </w:r>
            <w:r/>
          </w:p>
        </w:tc>
        <w:tc>
          <w:tcPr>
            <w:tcW w:w="265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肠外营养治疗不良事件发生率（NUT-O-02A）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82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65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肠内营养治疗不良事件发生率（NUT-O-02B）</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820" w:type="dxa"/>
            <w:vAlign w:val="center"/>
            <w:vMerge w:val="continue"/>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65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膳食营养治疗不良事件发生率（NUT-O-02C）</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营养门诊投诉发生率（NUT-O-03）</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（19）感染性疾病专业医疗质量控制指标（2023年版）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336"/>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抗流感病毒药物使用前流感病原学诊断阳性率（ID-FLU-01）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门诊流感患者抗菌药物使用率（ID-FLU-02）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住院流感患者抗菌药物使用率（ID-FLU-03）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住院流感重症患者死亡率（ID-FLU-04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感染性腹泻患者病原学诊断阳性率（ID-ID-01）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感染性腹泻患者抗菌药物使用率（ID-ID-02）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感染性腹泻患者口服补液盐（ORS）使用率（ID-ID-03）</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丙型肝炎病毒（HCV）抗体阳性患者丙型肝炎病毒核酸（HCV-RNA）检测率（ID-HC-01）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HCV-RNA阳性患者抗病毒治疗率（ID-HC-02）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护士血源性职业暴露率（ID-N-01）</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（20）健康体检与管理专业医疗质量控制指标（2023年版）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479"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指标名称</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高级职称医师签署报告率（HCHM-PR-01）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健康体检问卷完成率（HCHM-PR-02）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超声医师日均负担超声检查部位数（HCHM-PR-03）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大便标本留取率（HCHM-PR-04）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健康体检报告平均完成时间（HCHM-PR-05）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高危异常结果通知率（HCHM-OU-01）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重要异常结果随访率（HCHM-OU-02）</w:t>
            </w:r>
            <w:r>
              <w:rPr>
                <w:rFonts w:hint="eastAsia" w:ascii="宋体" w:hAnsi="宋体" w:eastAsia="宋体" w:cs="宋体"/>
                <w:i w:val="0"/>
                <w:iCs w:val="0"/>
                <w:color w:val="000000"/>
                <w:sz w:val="24"/>
                <w:szCs w:val="24"/>
                <w:u w:val="none"/>
              </w:rPr>
            </w:r>
            <w:r/>
          </w:p>
        </w:tc>
      </w:tr>
    </w:tbl>
    <w:p>
      <w:pPr>
        <w:pStyle w:val="651"/>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（21）整形美容专业医疗质量控制指标（2023年版）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整形美容手术I类切口围手术期预防性抗生素使用率（PCS-PAR-01）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整形美容手术切口甲级愈合率（PCS-AHR-02）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假体植入手术早期手术部位感染发生率（PCS-SII-03）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毛发移植术后早期毛囊炎发生率（PCS-EFH-04）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重睑术二次手术率（PCS-SDE-05）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阴道紧缩术直肠损伤发生率（PCS-RIV-06）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皮瓣血管危象早期识别率（PCS-VC-07）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皮瓣血管危象发生率（PCS-VC-08）</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sz w:val="24"/>
          <w:szCs w:val="24"/>
          <w:lang w:val="en-US" w:eastAsia="zh-CN"/>
        </w:rPr>
        <w:t xml:space="preserve">（22）脑损伤评价医疗质量控制指标（2024年版）</w:t>
      </w:r>
      <w:r>
        <w:rPr>
          <w:rFonts w:hint="eastAsia" w:ascii="宋体" w:hAnsi="宋体" w:eastAsia="宋体" w:cs="宋体"/>
          <w:i w:val="0"/>
          <w:iCs w:val="0"/>
          <w:color w:val="000000"/>
          <w:sz w:val="24"/>
          <w:szCs w:val="24"/>
          <w:u w:val="none"/>
          <w:lang w:val="en-US" w:eastAsia="zh-CN"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自发性脑出血患者电子计算机断层扫描血管成像（CTA）检查率（BIE-ICH-01）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自发性脑出血患者格拉斯哥昏迷量表（GCS）评估率（BIE-ICH-02）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自发性脑出血患者改良Rankin量表（mRS）评估率（BIE-ICH-03）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轻中度自发性脑出血患者紧急降压有效率（BIE-ICH-04）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自发性脑出血患者随访率（BIE-ICH-05）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急性重型颅脑创伤患者有创颅内压力（ICP）监测率（BIE-TBI-06）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急性颅脑创伤患者格拉斯哥昏迷量表（GCS）评估率（BIE-TBI-07）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急性颅脑创伤患者随访格拉斯哥结果评估量表（GOS）评估率（BIE-TBI-08）</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急性脑梗死初诊患者脑血管影像学评估率（BIE-CI-09）</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脑梗死患者康复治疗率（BIE-CI-10）</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b/>
          <w:bCs/>
          <w:sz w:val="24"/>
          <w:szCs w:val="24"/>
          <w:lang w:val="en-US" w:eastAsia="zh-CN"/>
        </w:rPr>
        <w:t xml:space="preserve">（23）放射影像专业医疗质量控制指标（2024年版）</w:t>
      </w:r>
      <w:r>
        <w:rPr>
          <w:rFonts w:hint="eastAsia" w:ascii="宋体" w:hAnsi="宋体" w:eastAsia="宋体" w:cs="宋体"/>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放射影像检查图像伪影率（RQI-IIA-01）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急诊放射影像检查报告2小时完成率（RQI-RRC-02）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放射影像报告书写规范率（RQI-RWS-03）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放射影像危急值10分钟内通报完成率（RQI-RCV-04）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增强CT检查静脉对比剂外渗发生率（RQI-ICME-05）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PI-RADS分类率（RQI-RCR-06）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BI-RADS分类率（RQI-RCR-07）</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（24）医院感染管理医疗质量控制指标（2024年版）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感控专职人员床位比（HAIQI-RFIB-01）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医疗机构工作人员手卫生依从率（HAIQI-CHH-02）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千日医院感染例次发病率（HAIQI-IHAI-03）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新生儿千日医院感染例次发病率（HAIQI-IHAIN-04）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千日特定多重耐药菌医院感染例次发病率（HAIQI-IMDROs-05）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住院患者联合使用重点抗菌药物治疗前病原学送检率（HAIQI-RSEA-06）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住院患者Ⅰ类切口手术抗菌药物预防使用率（HAIQI-RPAS-07）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住院患者Ⅰ类切口手术部位感染率（HAIQI-SSI-08）</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血管导管相关血流感染发病率（HAIQI-VCABSI-09）</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呼吸机相关肺炎发病率（HAIQI-VAP-10）</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导尿管相关尿路感染发病率（HAIQI-CAUTI-11）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血液透析相关感染发生率（HAIQI-IHDI-12）</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（25）重症医学专业医疗质量控制指标（2024年版）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3843"/>
        <w:gridCol w:w="5094"/>
      </w:tblGrid>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37"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ICU床位使用率（ICU-01）</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ICU医师床位比（ICU-02）</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ICU护士床位比（ICU-03）</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急性生理与慢性健康评分（APACHEⅡ评分）≥15分患者收治率（ICU-04）</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感染性休克患者集束化治疗（bundle）完成率（ICU-05）</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抗菌药物治疗前病原学送检率（ICU-06）</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深静脉血栓（DVT）预防率（ICU-07）</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中重度急性呼吸窘迫综合征（ARDS）患者俯卧位通气实施率（ICU-08）</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ICU镇痛评估率（ICU-09）</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ICU镇静评估率（ICU-10）</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929"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ICU患者标化病死指数（ICU-11）</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ICU患者标化病死指数</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29"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 患者预计病死率</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ICU非计划气管插管拔管率ICU-12）</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ICU气管插管拔管后48h再插管率（ICU-13）</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非计划转入ICU率ICU-14）</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转出ICU后48h内重返率ICU-15）</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ICU呼吸机相关肺炎（VAP）发病率ICU-16）</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ICU血管导管相关血流感染（CRBSI）发病率（ICU-17）</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ICU急性脑损伤患者意识评估率（ICU-18）</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48h内肠内营养（EN）启动率（ICU-19）</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（26）住院病案首页数据质量管理与控制指标（2016年版）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839"/>
        <w:gridCol w:w="5084"/>
      </w:tblGrid>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27" w:type="dxa"/>
            <w:vAlign w:val="center"/>
            <w:vMerge w:val="restart"/>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住院病案首页填报完整率</w:t>
            </w:r>
            <w:r>
              <w:rPr>
                <w:rFonts w:hint="eastAsia" w:ascii="宋体" w:hAnsi="宋体" w:eastAsia="宋体" w:cs="宋体"/>
                <w:i w:val="0"/>
                <w:iCs w:val="0"/>
                <w:color w:val="000000"/>
                <w:sz w:val="24"/>
                <w:szCs w:val="24"/>
                <w:u w:val="none"/>
              </w:rPr>
            </w:r>
            <w:r/>
          </w:p>
        </w:tc>
        <w:tc>
          <w:tcPr>
            <w:tcW w:w="2552"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病案首页填报完整率</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27" w:type="dxa"/>
            <w:vAlign w:val="center"/>
            <w:vMerge w:val="continue"/>
            <w:textDirection w:val="lrTb"/>
            <w:noWrap w:val="false"/>
          </w:tcPr>
          <w:p>
            <w:pPr>
              <w:pStyle w:val="651"/>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2"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病案首页项目填报完整率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主要诊断选择正确率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主要手术及操作选择正确率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其他诊断填写完整正确率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主要诊断编码正确率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其他诊断编码正确率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手术及操作编码正确率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病案首页数据质量优秀率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医疗费用信息准确率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病案首页数据上传率</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（27）核医学专业医疗质量控制指标 （2025 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全身骨显像静脉注射放射性药物外渗率（NM-01）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分化型甲状腺癌患者</w:t>
            </w:r>
            <w:r>
              <w:rPr>
                <w:rFonts w:hint="eastAsia" w:ascii="宋体" w:hAnsi="宋体" w:eastAsia="宋体" w:cs="宋体"/>
                <w:i w:val="0"/>
                <w:iCs w:val="0"/>
                <w:color w:val="000000"/>
                <w:sz w:val="24"/>
                <w:szCs w:val="24"/>
                <w:u w:val="none"/>
                <w:vertAlign w:val="superscript"/>
                <w:lang w:val="en-US" w:eastAsia="zh-CN" w:bidi="ar"/>
              </w:rPr>
              <w:t xml:space="preserve">131</w:t>
            </w:r>
            <w:r>
              <w:rPr>
                <w:rFonts w:hint="eastAsia" w:ascii="宋体" w:hAnsi="宋体" w:eastAsia="宋体" w:cs="宋体"/>
                <w:i w:val="0"/>
                <w:iCs w:val="0"/>
                <w:color w:val="000000"/>
                <w:sz w:val="24"/>
                <w:szCs w:val="24"/>
                <w:u w:val="none"/>
                <w:lang w:val="en-US" w:eastAsia="zh-CN" w:bidi="ar"/>
              </w:rPr>
              <w:t xml:space="preserve">I治疗前TSH达标率（NM-02）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核医学实验室室间质量评价项目参加率（NM-03）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单光子发射断层显像（SPECT）图像质量合格率（NM-04）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正电子发射断层成像/计算机断层成像（PET/CT）图像质量合格率（NM-05）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淋巴瘤患者</w:t>
            </w:r>
            <w:r>
              <w:rPr>
                <w:rFonts w:hint="eastAsia" w:ascii="宋体" w:hAnsi="宋体" w:eastAsia="宋体" w:cs="宋体"/>
                <w:i w:val="0"/>
                <w:iCs w:val="0"/>
                <w:color w:val="000000"/>
                <w:sz w:val="24"/>
                <w:szCs w:val="24"/>
                <w:u w:val="none"/>
                <w:vertAlign w:val="superscript"/>
                <w:lang w:val="en-US" w:eastAsia="zh-CN" w:bidi="ar"/>
              </w:rPr>
              <w:t xml:space="preserve">18</w:t>
            </w:r>
            <w:r>
              <w:rPr>
                <w:rFonts w:hint="eastAsia" w:ascii="宋体" w:hAnsi="宋体" w:eastAsia="宋体" w:cs="宋体"/>
                <w:i w:val="0"/>
                <w:iCs w:val="0"/>
                <w:color w:val="000000"/>
                <w:sz w:val="24"/>
                <w:szCs w:val="24"/>
                <w:u w:val="none"/>
                <w:lang w:val="en-US" w:eastAsia="zh-CN" w:bidi="ar"/>
              </w:rPr>
              <w:t xml:space="preserve">F-FDGPET/CT多维尔评分率（NM-06）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正电子发射断层成像/计算机断层成像（PET/CT）报告要素完整率（NM-07）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住院患者首次行18F-FDGPET/CT诊断符合率（NM-08）</w:t>
            </w:r>
            <w:r>
              <w:rPr>
                <w:rFonts w:hint="eastAsia" w:ascii="宋体" w:hAnsi="宋体" w:eastAsia="宋体" w:cs="宋体"/>
                <w:i w:val="0"/>
                <w:iCs w:val="0"/>
                <w:color w:val="000000"/>
                <w:sz w:val="24"/>
                <w:szCs w:val="24"/>
                <w:u w:val="none"/>
              </w:rPr>
            </w:r>
            <w:r/>
          </w:p>
        </w:tc>
      </w:tr>
    </w:tbl>
    <w:p>
      <w:pPr>
        <w:pStyle w:val="651"/>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（28）临床用血质量控制指标 （2019年版）</w:t>
      </w:r>
      <w:r>
        <w:rPr>
          <w:rFonts w:hint="eastAsia" w:ascii="宋体" w:hAnsi="宋体" w:eastAsia="宋体" w:cs="宋体"/>
          <w:b/>
          <w:bCs/>
          <w:sz w:val="24"/>
          <w:szCs w:val="24"/>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19"/>
      </w:tblGrid>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479"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指标名称</w:t>
            </w:r>
            <w:r>
              <w:rPr>
                <w:rFonts w:hint="eastAsia" w:ascii="宋体" w:hAnsi="宋体" w:eastAsia="宋体" w:cs="宋体"/>
                <w:b/>
                <w:bCs/>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每千单位用血输血专业技术人员数</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《临床输血申请单》合格率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受血者标本血型复查率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输血相容性检测项目室内质控率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输血相容性检测室间质评项目参加率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千输血人次输血不良反应上报例数</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一二级手术台均用血量</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三四级手术台均用血量</w:t>
            </w:r>
            <w:r>
              <w:rPr>
                <w:rFonts w:hint="eastAsia" w:ascii="宋体" w:hAnsi="宋体" w:eastAsia="宋体" w:cs="宋体"/>
                <w:i w:val="0"/>
                <w:iCs w:val="0"/>
                <w:color w:val="000000"/>
                <w:sz w:val="24"/>
                <w:szCs w:val="24"/>
                <w:highlight w:val="none"/>
                <w:u w:val="none"/>
              </w:rPr>
            </w:r>
            <w:r/>
          </w:p>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手术患者自体输血率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出院患者人均用血量</w:t>
            </w:r>
            <w:r>
              <w:rPr>
                <w:rFonts w:hint="eastAsia" w:ascii="宋体" w:hAnsi="宋体" w:eastAsia="宋体" w:cs="宋体"/>
                <w:i w:val="0"/>
                <w:iCs w:val="0"/>
                <w:color w:val="000000"/>
                <w:sz w:val="24"/>
                <w:szCs w:val="24"/>
                <w:highlight w:val="none"/>
                <w:u w:val="none"/>
                <w:lang w:val="en-US" w:eastAsia="zh-CN"/>
              </w:rPr>
            </w:r>
            <w:r/>
          </w:p>
        </w:tc>
      </w:tr>
    </w:tbl>
    <w:p>
      <w:pPr>
        <w:pStyle w:val="651"/>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（29）医疗质量安全核心制度落实情况监测指标（2025 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479"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指标名称</w:t>
            </w:r>
            <w:r>
              <w:rPr>
                <w:rFonts w:hint="eastAsia" w:ascii="宋体" w:hAnsi="宋体" w:eastAsia="宋体" w:cs="宋体"/>
                <w:b/>
                <w:bCs/>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患者入院 48 小时内转科的比例</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患者入院 8 小时内查房率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上级医师查房记录规范率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住院患者非计划手术率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急会诊及时到位率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急会诊有效率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普通会诊及时完成率</w:t>
            </w:r>
            <w:r>
              <w:rPr>
                <w:rFonts w:hint="eastAsia" w:ascii="宋体" w:hAnsi="宋体" w:eastAsia="宋体" w:cs="宋体"/>
                <w:i w:val="0"/>
                <w:iCs w:val="0"/>
                <w:color w:val="000000"/>
                <w:sz w:val="24"/>
                <w:szCs w:val="24"/>
                <w:highlight w:val="none"/>
                <w:u w:val="none"/>
                <w:lang w:val="en-US"/>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普通会诊有效率</w:t>
            </w:r>
            <w:r>
              <w:rPr>
                <w:rFonts w:hint="eastAsia" w:ascii="宋体" w:hAnsi="宋体" w:eastAsia="宋体" w:cs="宋体"/>
                <w:i w:val="0"/>
                <w:iCs w:val="0"/>
                <w:color w:val="000000"/>
                <w:sz w:val="24"/>
                <w:szCs w:val="24"/>
                <w:highlight w:val="none"/>
                <w:u w:val="none"/>
                <w:lang w:val="en-US"/>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手术患者特级护理 / 一级护理出院率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四级手术患者手术当日床旁交接班占比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非计划再次住院 / 手术患者疑难病例讨论完成率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非计划再次住院 / 手术患者疑难病例讨论记录完整率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高额异常费用患者进行疑难病例讨论的占比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14</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急危重症患者抢救成功率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术前讨论完成率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16</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术者参加术前讨论率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17</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术前讨论计划手术一致率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实际手术术者与计划手术术者一致率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19</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死亡病例讨论 5 日完成率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医务部门组织讨论的死亡病例与发生纠纷的死亡病例比值</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21</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科主任主持死亡病例讨论率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22</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死亡患者病案上传率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23</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长期医嘱当日终止率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24</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手术医师手术时间重合率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25</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麻醉医师手术时间重合率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26</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四级手术与三级手术并发症发生率比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27</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四级手术与三级手术患者死亡率比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四级手术术前多学科讨论完成率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29</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三、四级手术实际开展率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30</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新技术新项目留存转化率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31</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危急值报告时间</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32</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住院患者危急值当日及时处置率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33</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特殊使用级抗菌药物使用会诊率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34</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临床用血后评估记录率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35</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651"/>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术中自体血回输率</w:t>
            </w:r>
            <w:r>
              <w:rPr>
                <w:rFonts w:hint="eastAsia" w:ascii="宋体" w:hAnsi="宋体" w:eastAsia="宋体" w:cs="宋体"/>
                <w:i w:val="0"/>
                <w:iCs w:val="0"/>
                <w:color w:val="000000"/>
                <w:sz w:val="24"/>
                <w:szCs w:val="24"/>
                <w:highlight w:val="none"/>
                <w:u w:val="none"/>
                <w:lang w:val="en-US" w:eastAsia="zh-CN"/>
              </w:rPr>
            </w:r>
            <w:r/>
          </w:p>
        </w:tc>
      </w:tr>
    </w:tbl>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2.1指标信息配置服务</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供应商围绕《医疗质量管理与控制指标汇编8.0版》专业（专科）类内容，科学配置指标体系。严格按照医院医疗质量控制指标框架，涵盖临床检验专业医疗质量控制指标、呼吸内科专业医疗质量控制指标、肿瘤专业质量控制指标等指标，对指标的访问和操作进行权限管理，以确保数据的安全性和保密性，同时根据指标拆分的分子、分母及相关项，配置主指标计算公式及附加计算，供应商应对细项计算公式进行自定义配置（加减乘除等运算公式），指标计算口径与医院等级评审细则标准完全对标，确保公式的准确性和可靠性。</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2.2指标数据采集服务</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能够通过数据采集工具将院内分散在不同系统、不同科室的考核指标相关的数据通过清洗、转换、加载汇聚到主题库中，在数据汇聚的过程中，对数据质量进行校验，增量数据能够及时获取，数据不遗漏，数据安全可控，确保能为后续数据分析和挖掘提供及时精准的基础数据支撑。</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2.3指标数据可视化</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对指标体系进行指标分类，时间分类等多维分析，能够查看当前值、目标值、负责科室、同期值、同比、上期值、环比等信息，基于医院等级评审分类，构建柱状图、趋势图等可视化图表，直观呈现医院专业医疗质量控制指标变化情况，还能进一步下钻到诊疗组、医生、患者维度分析。选取同等级、同类型医院作为标杆，对比分析关键指标差异，定位管理短板与改进方向。</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2.4指标数据预警提醒</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医院历史数据及行业基准值要求，供应商需为医院设定个性化的指标预警阈值。当某项指标数据触发预警阈值时，通过平台推送、短信、邮件等多渠道即时向医院对接人发送预警提醒，明确预警指标名称、当前数值及预警阈值，确保医院第一时间知晓指标异常情况，避免问题扩大化。</w:t>
      </w:r>
      <w:r>
        <w:rPr>
          <w:rFonts w:hint="eastAsia" w:ascii="宋体" w:hAnsi="宋体" w:eastAsia="宋体" w:cs="宋体"/>
          <w:sz w:val="24"/>
          <w:szCs w:val="24"/>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发送预警提醒的同时，针对触发预警的指标开展专项分析。从数据关联性、时间维度、影响因素三个层面深入挖掘预警原因，形成《指标数据预警分析简报》。简报中清晰呈现预警概况，还附相关数据图表辅助理解，为医院快速制定应对措施提供方向指引，并定期梳理预警分析案例，提炼共性问题与解决思路，形成经验档案，提升后续分析效率与准确性。</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2.5数据问题排查</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数据变化全程由供应商负责监测与记录，实时跟踪各项指标数据的变化情况，及时发现新问题与潜在风险，并在后续的月报中进行反馈与分析，确保医院能够及时掌握自身运营状况的动态变化。</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2.6月度分析报告</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月为医院提供一份调研月报，报告不仅涵盖医院各项指标数据的数值详情，对全院/科室指标的达标与未达标情况进行展示，将不同科室进行目标值对比，明确医院在各科室中的优势与不足，还将深入分析数据内涵，在月度会议中根据月度报告，工程师对本月数值为0或不准确的情况进行集中解读，解答医院及科室提出的疑问，确保分析结论被充分理解。</w:t>
      </w:r>
      <w:r>
        <w:rPr>
          <w:rFonts w:hint="eastAsia" w:ascii="宋体" w:hAnsi="宋体" w:eastAsia="宋体" w:cs="宋体"/>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2.7协同整改服务</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供应商每月根据月度报告与医院组织召开专题会议，与医院管理层、各科室负责人等相关人员进行深入交流，共同探讨报告中反映出的问题，听取医院方面的意见与需求，确保对问题的理解全面准确。​</w:t>
      </w:r>
      <w:r>
        <w:rPr>
          <w:rFonts w:hint="eastAsia" w:ascii="宋体" w:hAnsi="宋体" w:eastAsia="宋体" w:cs="宋体"/>
          <w:sz w:val="24"/>
          <w:szCs w:val="24"/>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供应商提供专业人员配合医院开展调研工作，若发现某项数值较低，立即与具体科室进行沟通，全面了解科室在该指标相关工作中的实际情况，挖掘问题产生的深层次原因。</w:t>
      </w:r>
      <w:r>
        <w:rPr>
          <w:rFonts w:hint="eastAsia" w:ascii="宋体" w:hAnsi="宋体" w:eastAsia="宋体" w:cs="宋体"/>
          <w:sz w:val="24"/>
          <w:szCs w:val="24"/>
          <w:lang w:val="en-US" w:eastAsia="zh-CN"/>
        </w:rPr>
      </w:r>
      <w:r/>
    </w:p>
    <w:p>
      <w:pPr>
        <w:pStyle w:val="651"/>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3、统一数据上报需求</w:t>
      </w:r>
      <w:r>
        <w:rPr>
          <w:rFonts w:hint="eastAsia" w:ascii="宋体" w:hAnsi="宋体" w:eastAsia="宋体" w:cs="宋体"/>
          <w:b/>
          <w:bCs/>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通过要求供应商统一数据上报服务，帮助医院应对复杂多变的上报要求、解决数据质量问题、优化上报工作流程，为医院提供决策支持、统一数据出口并便于信息化管理，规范化管理医疗数据上报工作。</w:t>
      </w:r>
      <w:r>
        <w:rPr>
          <w:rFonts w:hint="eastAsia" w:ascii="宋体" w:hAnsi="宋体" w:eastAsia="宋体" w:cs="宋体"/>
          <w:b/>
          <w:bCs/>
          <w:sz w:val="24"/>
          <w:szCs w:val="24"/>
          <w:lang w:val="en-US" w:eastAsia="zh-CN"/>
        </w:rPr>
      </w:r>
      <w:r/>
    </w:p>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2" w:name="_Toc1865962510"/>
      <w:r>
        <w:rPr>
          <w:rFonts w:hint="eastAsia" w:ascii="宋体" w:hAnsi="宋体" w:eastAsia="宋体" w:cs="宋体"/>
          <w:b/>
          <w:sz w:val="24"/>
          <w:szCs w:val="24"/>
          <w:lang w:val="en-US" w:eastAsia="zh-CN" w:bidi="ar-SA"/>
        </w:rPr>
        <w:t xml:space="preserve">3.1 江苏省全民健康信息平台上报</w:t>
      </w:r>
      <w:bookmarkEnd w:id="812"/>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了解数据上报范围，根据上报要求为医院重建或补充48张业务表、检查之前上传的旧表并补传数据；通过（工具+服务）的形式，供应商应协助医院进行数据质量的监管，进一步确保上传数据的完整性、一致性和准确性；供应商应针对数据表质量，表与表之间的关联性等问题，向医院提出整改建议；培训医院相关人员对码工具的使用，以便日后医院可自行进行数据质量校验工作；在进行数据上传过程中供应商如发现数据源有问题需协助医院指导业务系统厂商进行问题数据整改；供应商应定期向院内反馈本周数据上传情况，问题源及改善计划等。</w:t>
      </w:r>
      <w:r>
        <w:rPr>
          <w:rFonts w:hint="eastAsia" w:ascii="宋体" w:hAnsi="宋体" w:eastAsia="宋体" w:cs="宋体"/>
          <w:sz w:val="24"/>
          <w:szCs w:val="24"/>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基于国家卫健委发布的《国家二三级公立医院绩效考核指标》、省医管中心发布的《江苏省三级公立医院绩效考核简报》、《江苏省三级医疗机构医疗质量与运营绩效简报》、《省重点专科评审指标》，以及省卫健委信息中心发布的《数据质量通报》等考核指标，进行指标的计算服务，实现数据可视化和智能化分析。</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03"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1478"/>
        <w:gridCol w:w="4725"/>
      </w:tblGrid>
      <w:tr>
        <w:trPr>
          <w:trHeight w:val="352"/>
        </w:trPr>
        <w:tc>
          <w:tcPr>
            <w:tcW w:w="3400" w:type="dxa"/>
            <w:vAlign w:val="center"/>
            <w:textDirection w:val="lrTb"/>
            <w:noWrap w:val="false"/>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bidi="ar"/>
              </w:rPr>
            </w:r>
            <w:r/>
          </w:p>
        </w:tc>
        <w:tc>
          <w:tcPr>
            <w:gridSpan w:val="2"/>
            <w:tcW w:w="620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bidi="ar"/>
              </w:rPr>
            </w:r>
            <w:r/>
          </w:p>
        </w:tc>
      </w:tr>
      <w:tr>
        <w:trPr>
          <w:trHeight w:val="352"/>
        </w:trPr>
        <w:tc>
          <w:tcPr>
            <w:tcW w:w="3400" w:type="dxa"/>
            <w:vAlign w:val="center"/>
            <w:vMerge w:val="restart"/>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江苏省全民健康信息平台上报</w:t>
            </w: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restart"/>
            <w:textDirection w:val="lrTb"/>
            <w:noWrap w:val="false"/>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江苏省全民健康信息平台上报指标建设服务</w:t>
            </w:r>
            <w:r>
              <w:rPr>
                <w:rFonts w:hint="eastAsia" w:ascii="宋体" w:hAnsi="宋体" w:eastAsia="宋体" w:cs="宋体"/>
                <w:i w:val="0"/>
                <w:iCs w:val="0"/>
                <w:color w:val="000000"/>
                <w:sz w:val="24"/>
                <w:szCs w:val="24"/>
                <w:u w:val="none"/>
              </w:rPr>
            </w:r>
            <w:r/>
          </w:p>
        </w:tc>
        <w:tc>
          <w:tcPr>
            <w:tcW w:w="147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指标服务</w:t>
            </w: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指标配置</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78" w:type="dxa"/>
            <w:vAlign w:val="center"/>
            <w:vMerge w:val="restart"/>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指标展现</w:t>
            </w: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绩效考核类指标</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78" w:type="dxa"/>
            <w:vAlign w:val="center"/>
            <w:vMerge w:val="continue"/>
            <w:textDirection w:val="lrTb"/>
            <w:noWrap/>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重点专科类指标</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78" w:type="dxa"/>
            <w:vAlign w:val="center"/>
            <w:vMerge w:val="continue"/>
            <w:textDirection w:val="lrTb"/>
            <w:noWrap/>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等级评审指标</w:t>
            </w:r>
            <w:r>
              <w:rPr>
                <w:rFonts w:hint="eastAsia" w:ascii="宋体" w:hAnsi="宋体" w:eastAsia="宋体" w:cs="宋体"/>
                <w:i w:val="0"/>
                <w:iCs w:val="0"/>
                <w:color w:val="000000"/>
                <w:sz w:val="24"/>
                <w:szCs w:val="24"/>
                <w:u w:val="none"/>
              </w:rPr>
            </w:r>
            <w:r/>
          </w:p>
        </w:tc>
      </w:tr>
    </w:tbl>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3" w:name="_Toc1528208429"/>
      <w:r>
        <w:rPr>
          <w:rFonts w:hint="eastAsia" w:ascii="宋体" w:hAnsi="宋体" w:eastAsia="宋体" w:cs="宋体"/>
          <w:b/>
          <w:sz w:val="24"/>
          <w:szCs w:val="24"/>
          <w:lang w:val="en-US" w:eastAsia="zh-CN" w:bidi="ar-SA"/>
        </w:rPr>
        <w:t xml:space="preserve">3.2 常州市卫生信息平台上报</w:t>
      </w:r>
      <w:bookmarkEnd w:id="813"/>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供应商应根据常州市卫生信息平台数据接入规范协助医院进行常州市卫生信息平台数据上报，包含患者管理、检验检查等35张表数据，并且在数据上报服务过程中会根据最新的标准规范进行上报标准调整。</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18"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6218"/>
      </w:tblGrid>
      <w:tr>
        <w:trPr>
          <w:trHeight w:val="352"/>
        </w:trPr>
        <w:tc>
          <w:tcPr>
            <w:tcW w:w="3400" w:type="dxa"/>
            <w:vAlign w:val="center"/>
            <w:textDirection w:val="lrTb"/>
            <w:noWrap w:val="false"/>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rPr>
            </w:r>
            <w:r/>
          </w:p>
        </w:tc>
      </w:tr>
      <w:tr>
        <w:trPr>
          <w:trHeight w:val="352"/>
        </w:trPr>
        <w:tc>
          <w:tcPr>
            <w:tcW w:w="3400"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常州市卫生信息平台上报</w:t>
            </w: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rPr>
            </w:r>
            <w:r/>
          </w:p>
        </w:tc>
      </w:tr>
    </w:tbl>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4" w:name="_Toc694648083"/>
      <w:r>
        <w:rPr>
          <w:rFonts w:hint="eastAsia" w:ascii="宋体" w:hAnsi="宋体" w:eastAsia="宋体" w:cs="宋体"/>
          <w:b/>
          <w:sz w:val="24"/>
          <w:szCs w:val="24"/>
          <w:lang w:val="en-US" w:eastAsia="zh-CN" w:bidi="ar-SA"/>
        </w:rPr>
        <w:t xml:space="preserve">3.3 HQMS（国家医院质量监测系统）上报</w:t>
      </w:r>
      <w:bookmarkEnd w:id="814"/>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供应商应根据《国家卫生健康委办公厅关于启动2023年度二级和三级公立医院绩效考核有关工作的通知》，于每月15日前将上一个月的住院病案首页数据上传至国家医院质量监测系统。</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18"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6218"/>
      </w:tblGrid>
      <w:tr>
        <w:trPr>
          <w:trHeight w:val="352"/>
        </w:trPr>
        <w:tc>
          <w:tcPr>
            <w:tcW w:w="3400" w:type="dxa"/>
            <w:vAlign w:val="center"/>
            <w:textDirection w:val="lrTb"/>
            <w:noWrap w:val="false"/>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rPr>
            </w:r>
            <w:r/>
          </w:p>
        </w:tc>
      </w:tr>
      <w:tr>
        <w:trPr>
          <w:trHeight w:val="352"/>
        </w:trPr>
        <w:tc>
          <w:tcPr>
            <w:tcW w:w="3400"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HQMS（国家医院质量监测系统）上报</w:t>
            </w: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rPr>
            </w:r>
            <w:r/>
          </w:p>
        </w:tc>
      </w:tr>
    </w:tbl>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5" w:name="_Toc1229225889"/>
      <w:r>
        <w:rPr>
          <w:rFonts w:hint="eastAsia" w:ascii="宋体" w:hAnsi="宋体" w:eastAsia="宋体" w:cs="宋体"/>
          <w:b/>
          <w:sz w:val="24"/>
          <w:szCs w:val="24"/>
          <w:lang w:val="en-US" w:eastAsia="zh-CN" w:bidi="ar-SA"/>
        </w:rPr>
        <w:t xml:space="preserve">3.4 国家抗肿瘤药物临床应用监测网上报</w:t>
      </w:r>
      <w:bookmarkEnd w:id="815"/>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按照国家癌症中心全国抗肿瘤药物临床应用监测网要求采集恶性肿瘤患者的门（急）诊、住院、诊断、治疗、检查检验等相关数据，抗肿瘤药物采购和使用清单数据等，共计24张监测表，并进行数据关联性和标准化处理，将符条件的数据集导出，并上传至抗肿瘤监测网。</w:t>
      </w:r>
      <w:r>
        <w:rPr>
          <w:rFonts w:hint="eastAsia" w:ascii="宋体" w:hAnsi="宋体" w:eastAsia="宋体" w:cs="宋体"/>
          <w:sz w:val="24"/>
          <w:szCs w:val="24"/>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基于国家卫健委发布的《国家二三级公立医院绩效考核指标》中肿瘤专业医疗质量控制指标，进行指标的计算服务。本次国家抗肿瘤药物临床应用监测网上报指标展现内容包含首次治疗前临床分期评估率、首次非手术治疗前病理学诊断率、术后病理TNM分期率、围手术期死亡率、首次靶向/免疫治疗前分子病理检测率、术中淋巴结清扫规范率等6类41项指标，实现数据可视化和智能化分析。</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33"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6233"/>
      </w:tblGrid>
      <w:tr>
        <w:trPr>
          <w:trHeight w:val="438"/>
        </w:trPr>
        <w:tc>
          <w:tcPr>
            <w:tcW w:w="3400" w:type="dxa"/>
            <w:vAlign w:val="center"/>
            <w:textDirection w:val="lrTb"/>
            <w:noWrap w:val="false"/>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rPr>
            </w:r>
            <w:r/>
          </w:p>
        </w:tc>
      </w:tr>
      <w:tr>
        <w:trPr>
          <w:trHeight w:val="438"/>
        </w:trPr>
        <w:tc>
          <w:tcPr>
            <w:tcW w:w="3400"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国家抗肿瘤药物临床应用监测网上报</w:t>
            </w: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651"/>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指标配置</w:t>
            </w:r>
            <w:r>
              <w:rPr>
                <w:rFonts w:hint="eastAsia" w:ascii="宋体" w:hAnsi="宋体" w:eastAsia="宋体" w:cs="宋体"/>
                <w:i w:val="0"/>
                <w:iCs w:val="0"/>
                <w:color w:val="000000"/>
                <w:sz w:val="24"/>
                <w:szCs w:val="24"/>
                <w:u w:val="none"/>
                <w:lang w:val="en-US" w:eastAsia="zh-CN"/>
              </w:rPr>
            </w:r>
            <w:r/>
          </w:p>
        </w:tc>
      </w:tr>
    </w:tbl>
    <w:p>
      <w:pPr>
        <w:pStyle w:val="651"/>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4驻场服务</w:t>
      </w:r>
      <w:r>
        <w:rPr>
          <w:rFonts w:hint="eastAsia" w:ascii="宋体" w:hAnsi="宋体" w:eastAsia="宋体" w:cs="宋体"/>
          <w:b/>
          <w:sz w:val="24"/>
          <w:szCs w:val="24"/>
          <w:lang w:val="en-US" w:eastAsia="zh-CN" w:bidi="ar-SA"/>
        </w:rPr>
      </w:r>
      <w:r/>
    </w:p>
    <w:p>
      <w:pPr>
        <w:pStyle w:val="651"/>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后两名专职驻场人员负责医院等级评审、专科质控、NCIS上报、江苏省重点专科创建及卫统年报等临时数据任务的全流程支撑，需具备从HIS等业务系统底层提取数据的SQL能力，并熟悉医院业务流程，能够独立完成指标口径梳理、逻辑校验及与临床、信息科的沟通协调，确保所有上报数据准确、可溯源。驻场人员详细能力要求：</w:t>
      </w:r>
      <w:r>
        <w:rPr>
          <w:rFonts w:hint="eastAsia" w:ascii="宋体" w:hAnsi="宋体" w:eastAsia="宋体" w:cs="宋体"/>
          <w:sz w:val="24"/>
          <w:szCs w:val="24"/>
          <w:highlight w:val="none"/>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4.1具有不少于4年相关工作经验，本科及以上学历水平，具备医院信息系统等业务系统的运维能力，有4年及以上HIS系统维护管理经验，熟练掌握HIS系统。</w:t>
      </w:r>
      <w:r>
        <w:rPr>
          <w:rFonts w:hint="eastAsia" w:ascii="宋体" w:hAnsi="宋体" w:eastAsia="宋体" w:cs="宋体"/>
          <w:sz w:val="24"/>
          <w:szCs w:val="24"/>
          <w:highlight w:val="none"/>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4.2熟练Oracle、MS SQL、MySQL、PG等主流数据库及应用软件；</w:t>
      </w:r>
      <w:r>
        <w:rPr>
          <w:rFonts w:hint="eastAsia" w:ascii="宋体" w:hAnsi="宋体" w:eastAsia="宋体" w:cs="宋体"/>
          <w:sz w:val="24"/>
          <w:szCs w:val="24"/>
          <w:lang w:val="en-US" w:eastAsia="zh-CN"/>
        </w:rPr>
      </w:r>
      <w:r/>
    </w:p>
    <w:p>
      <w:pPr>
        <w:pStyle w:val="651"/>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4.3熟悉医院HIS系统工作流程及业务结构。</w:t>
      </w:r>
      <w:r>
        <w:rPr>
          <w:rFonts w:hint="eastAsia" w:ascii="宋体" w:hAnsi="宋体" w:eastAsia="宋体" w:cs="宋体"/>
          <w:sz w:val="24"/>
          <w:szCs w:val="24"/>
          <w:lang w:val="en-US" w:eastAsia="zh-CN"/>
        </w:rPr>
      </w:r>
      <w:r/>
    </w:p>
    <w:p>
      <w:pPr>
        <w:pStyle w:val="651"/>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zh-CN"/>
        </w:rPr>
        <w:t xml:space="preserve">院内业务系统配合改造</w:t>
      </w:r>
      <w:r>
        <w:rPr>
          <w:rFonts w:hint="eastAsia" w:ascii="宋体" w:hAnsi="宋体" w:eastAsia="宋体" w:cs="宋体"/>
          <w:b/>
          <w:bCs/>
          <w:sz w:val="24"/>
          <w:szCs w:val="24"/>
          <w:lang w:val="en-US" w:eastAsia="zh-CN"/>
        </w:rPr>
      </w:r>
      <w:r/>
    </w:p>
    <w:p>
      <w:pPr>
        <w:pStyle w:val="651"/>
        <w:ind w:firstLine="240"/>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实际服务过程中涉及到HIS系统、CIS医生站、护士站、移动管理护理系统、心电系统、手麻系统、病理系统、LIS系统、RIS系统、急诊系统、重症系统、血透系统等系统的改造工作。</w:t>
      </w:r>
      <w:r>
        <w:rPr>
          <w:rFonts w:ascii="宋体" w:hAnsi="宋体" w:eastAsia="宋体" w:cs="宋体"/>
          <w:b/>
          <w:bCs/>
          <w:sz w:val="24"/>
          <w:szCs w:val="24"/>
          <w:lang w:val="en-US" w:eastAsia="zh-CN"/>
        </w:rPr>
      </w:r>
      <w:r/>
    </w:p>
    <w:p>
      <w:pPr>
        <w:pStyle w:val="752"/>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（三）考核要求：</w:t>
      </w:r>
      <w:r>
        <w:rPr>
          <w:rFonts w:hint="eastAsia" w:ascii="宋体" w:hAnsi="宋体" w:eastAsia="宋体" w:cs="宋体"/>
          <w:b/>
          <w:bCs/>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为了加强服务质量管理和质量标准，制订了适应于本服务的检查验收规定和质量评定标准，确保工程质量。</w:t>
      </w:r>
      <w:r>
        <w:rPr>
          <w:rFonts w:hint="eastAsia" w:ascii="宋体" w:hAnsi="宋体" w:eastAsia="宋体" w:cs="宋体"/>
          <w:b w:val="0"/>
          <w:bCs w:val="0"/>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highlight w:val="yellow"/>
          <w:u w:val="single"/>
          <w:lang w:val="en-US" w:eastAsia="zh-CN"/>
        </w:rPr>
      </w:pPr>
      <w:r>
        <w:rPr>
          <w:rFonts w:hint="eastAsia" w:ascii="宋体" w:hAnsi="宋体" w:eastAsia="宋体" w:cs="宋体"/>
          <w:b w:val="0"/>
          <w:bCs w:val="0"/>
          <w:sz w:val="24"/>
          <w:szCs w:val="24"/>
          <w:lang w:val="en-US" w:eastAsia="zh-CN"/>
        </w:rPr>
        <w:t xml:space="preserve">从签订合同生效之日起算，院方对服务商服务质量进行考核，考核完成后形成考核报告，考核结果直接与服务合同付款金额挂钩</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bCs/>
          <w:sz w:val="24"/>
          <w:szCs w:val="24"/>
          <w:highlight w:val="none"/>
          <w:u w:val="single"/>
          <w:lang w:val="en-US" w:eastAsia="zh-CN"/>
        </w:rPr>
        <w:t xml:space="preserve">详见合同附件1：考核办法</w:t>
      </w:r>
      <w:r>
        <w:rPr>
          <w:rFonts w:hint="eastAsia" w:ascii="宋体" w:hAnsi="宋体" w:eastAsia="宋体" w:cs="宋体"/>
          <w:b/>
          <w:bCs/>
          <w:sz w:val="24"/>
          <w:szCs w:val="24"/>
          <w:highlight w:val="yellow"/>
          <w:u w:val="single"/>
          <w:lang w:val="en-US" w:eastAsia="zh-CN"/>
        </w:rPr>
      </w:r>
      <w:r/>
    </w:p>
    <w:p>
      <w:pPr>
        <w:pStyle w:val="651"/>
        <w:numPr>
          <w:ilvl w:val="0"/>
          <w:numId w:val="0"/>
        </w:numPr>
        <w:keepLines w:val="0"/>
        <w:keepNext w:val="0"/>
        <w:pageBreakBefore w:val="0"/>
        <w:spacing w:beforeAutospacing="0" w:afterAutospacing="0" w:line="400" w:lineRule="exact"/>
        <w:widowControl/>
        <w:rPr>
          <w:rFonts w:ascii="宋体" w:hAnsi="宋体" w:eastAsia="宋体" w:cs="宋体"/>
          <w:b/>
          <w:bCs/>
          <w:sz w:val="24"/>
          <w:szCs w:val="24"/>
          <w:highlight w:val="green"/>
          <w:u w:val="single"/>
          <w:lang w:val="en-US" w:eastAsia="zh-CN"/>
        </w:rPr>
      </w:pPr>
      <w:r>
        <w:rPr>
          <w:rFonts w:hint="eastAsia" w:ascii="宋体" w:hAnsi="宋体" w:eastAsia="宋体" w:cs="宋体"/>
          <w:b/>
          <w:bCs/>
          <w:sz w:val="24"/>
          <w:szCs w:val="24"/>
          <w:highlight w:val="none"/>
          <w:u w:val="single"/>
          <w:lang w:val="en-US" w:eastAsia="zh-CN"/>
        </w:rPr>
        <w:t xml:space="preserve">（四）因本项目存在特殊性，项目后期具体实施将结合参照最新发布的《</w:t>
      </w:r>
      <w:r>
        <w:rPr>
          <w:rFonts w:hint="eastAsia" w:ascii="宋体" w:hAnsi="宋体" w:eastAsia="宋体" w:cs="宋体"/>
          <w:b/>
          <w:bCs/>
          <w:sz w:val="24"/>
          <w:szCs w:val="24"/>
          <w:highlight w:val="none"/>
          <w:u w:val="single"/>
          <w:lang w:val="en-US" w:eastAsia="zh-CN"/>
        </w:rPr>
        <w:t xml:space="preserve">江苏省三级综合医院评审标准实施细则</w:t>
      </w:r>
      <w:r>
        <w:rPr>
          <w:rFonts w:hint="eastAsia" w:ascii="宋体" w:hAnsi="宋体" w:eastAsia="宋体" w:cs="宋体"/>
          <w:b/>
          <w:bCs/>
          <w:sz w:val="24"/>
          <w:szCs w:val="24"/>
          <w:highlight w:val="none"/>
          <w:u w:val="single"/>
          <w:lang w:val="en-US" w:eastAsia="zh-CN"/>
        </w:rPr>
        <w:t xml:space="preserve">》执行</w:t>
      </w:r>
      <w:r>
        <w:rPr>
          <w:rFonts w:hint="eastAsia" w:ascii="宋体" w:hAnsi="宋体" w:eastAsia="宋体" w:cs="宋体"/>
          <w:b/>
          <w:bCs/>
          <w:sz w:val="24"/>
          <w:szCs w:val="24"/>
          <w:highlight w:val="none"/>
          <w:u w:val="single"/>
          <w:lang w:val="en-US" w:eastAsia="zh-CN"/>
        </w:rPr>
        <w:t xml:space="preserve">。</w:t>
      </w:r>
      <w:r>
        <w:rPr>
          <w:rFonts w:ascii="宋体" w:hAnsi="宋体" w:eastAsia="宋体" w:cs="宋体"/>
          <w:b/>
          <w:bCs/>
          <w:sz w:val="24"/>
          <w:szCs w:val="24"/>
          <w:highlight w:val="green"/>
          <w:u w:val="single"/>
          <w:lang w:val="en-US" w:eastAsia="zh-CN"/>
        </w:rPr>
      </w:r>
      <w:r/>
    </w:p>
    <w:p>
      <w:pPr>
        <w:pStyle w:val="651"/>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四、实质性条款</w:t>
      </w:r>
      <w:r>
        <w:rPr>
          <w:rFonts w:hint="eastAsia" w:ascii="宋体" w:hAnsi="宋体" w:eastAsia="宋体" w:cs="宋体"/>
          <w:b/>
          <w:bCs/>
          <w:sz w:val="24"/>
          <w:szCs w:val="24"/>
          <w:lang w:val="en-US" w:eastAsia="zh-CN"/>
        </w:rPr>
      </w:r>
      <w:r/>
    </w:p>
    <w:tbl>
      <w:tblPr>
        <w:tblW w:w="48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979"/>
      </w:tblGrid>
      <w:tr>
        <w:trPr>
          <w:trHeight w:val="571"/>
        </w:trPr>
        <w:tc>
          <w:tcPr>
            <w:tcW w:w="725" w:type="dxa"/>
            <w:vAlign w:val="center"/>
            <w:textDirection w:val="lrTb"/>
            <w:noWrap w:val="false"/>
          </w:tcPr>
          <w:p>
            <w:pPr>
              <w:pStyle w:val="651"/>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8979" w:type="dxa"/>
            <w:vAlign w:val="center"/>
            <w:textDirection w:val="lrTb"/>
            <w:noWrap w:val="false"/>
          </w:tcPr>
          <w:p>
            <w:pPr>
              <w:pStyle w:val="651"/>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r>
      <w:tr>
        <w:trPr>
          <w:trHeight w:val="480"/>
        </w:trPr>
        <w:tc>
          <w:tcPr>
            <w:tcW w:w="725" w:type="dxa"/>
            <w:vAlign w:val="center"/>
            <w:textDirection w:val="lrTb"/>
            <w:noWrap w:val="false"/>
          </w:tcPr>
          <w:p>
            <w:pPr>
              <w:pStyle w:val="651"/>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sz w:val="24"/>
                <w:szCs w:val="24"/>
              </w:rPr>
            </w:r>
            <w:r/>
          </w:p>
        </w:tc>
        <w:tc>
          <w:tcPr>
            <w:tcW w:w="8979" w:type="dxa"/>
            <w:vAlign w:val="center"/>
            <w:textDirection w:val="lrTb"/>
            <w:noWrap w:val="false"/>
          </w:tcPr>
          <w:p>
            <w:pPr>
              <w:pStyle w:val="651"/>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val="en-US" w:eastAsia="zh-CN"/>
              </w:rPr>
            </w:r>
            <w:r/>
          </w:p>
        </w:tc>
      </w:tr>
    </w:tbl>
    <w:p>
      <w:pPr>
        <w:pStyle w:val="651"/>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五、采购标的对应的中小企业划分标准所属行业一览表</w:t>
      </w:r>
      <w:r>
        <w:rPr>
          <w:rFonts w:hint="eastAsia" w:ascii="宋体" w:hAnsi="宋体" w:eastAsia="宋体" w:cs="宋体"/>
          <w:b/>
          <w:bCs/>
          <w:sz w:val="24"/>
          <w:szCs w:val="24"/>
          <w:lang w:val="en-US" w:eastAsia="zh-CN"/>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651"/>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651"/>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651"/>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651"/>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651"/>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等级医院评审指标和重点专科指标管理服务项目</w:t>
            </w:r>
            <w:r>
              <w:rPr>
                <w:rFonts w:hint="eastAsia" w:ascii="宋体" w:hAnsi="宋体" w:eastAsia="宋体" w:cs="宋体"/>
                <w:sz w:val="24"/>
                <w:szCs w:val="24"/>
              </w:rPr>
            </w:r>
            <w:r/>
          </w:p>
        </w:tc>
        <w:tc>
          <w:tcPr>
            <w:tcW w:w="6651" w:type="dxa"/>
            <w:vAlign w:val="center"/>
            <w:textDirection w:val="lrTb"/>
            <w:noWrap w:val="false"/>
          </w:tcPr>
          <w:p>
            <w:pPr>
              <w:pStyle w:val="651"/>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w:t>
            </w:r>
            <w:r>
              <w:rPr>
                <w:rFonts w:hint="eastAsia" w:ascii="宋体" w:hAnsi="宋体" w:eastAsia="宋体" w:cs="宋体"/>
                <w:color w:val="000000"/>
                <w:sz w:val="24"/>
                <w:szCs w:val="24"/>
                <w:lang w:val="zh-TW" w:eastAsia="zh-CN"/>
              </w:rPr>
              <w:t xml:space="preserve">于</w:t>
            </w:r>
            <w:r>
              <w:rPr>
                <w:rFonts w:hint="eastAsia" w:ascii="宋体" w:hAnsi="宋体" w:eastAsia="宋体" w:cs="宋体"/>
                <w:b/>
                <w:bCs/>
                <w:color w:val="000000"/>
                <w:sz w:val="24"/>
                <w:szCs w:val="24"/>
                <w:u w:val="single"/>
                <w:lang w:val="en-US" w:eastAsia="zh-CN"/>
              </w:rPr>
              <w:t xml:space="preserve">服务</w:t>
            </w:r>
            <w:r>
              <w:rPr>
                <w:rFonts w:hint="eastAsia" w:ascii="宋体" w:hAnsi="宋体" w:eastAsia="宋体" w:cs="宋体"/>
                <w:b/>
                <w:bCs/>
                <w:color w:val="000000"/>
                <w:sz w:val="24"/>
                <w:szCs w:val="24"/>
                <w:u w:val="single"/>
                <w:lang w:val="zh-TW" w:eastAsia="zh-CN"/>
              </w:rPr>
              <w:t xml:space="preserve">类</w:t>
            </w:r>
            <w:r>
              <w:rPr>
                <w:rFonts w:hint="eastAsia" w:ascii="宋体" w:hAnsi="宋体" w:eastAsia="宋体" w:cs="宋体"/>
                <w:color w:val="000000"/>
                <w:sz w:val="24"/>
                <w:szCs w:val="24"/>
                <w:lang w:val="zh-TW" w:eastAsia="zh-CN"/>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（《关于印发中小企业划型标准规定的通知》工信部联企业</w:t>
            </w: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lang w:eastAsia="zh-CN"/>
              </w:rPr>
              <w:t xml:space="preserve">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651"/>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六、报价方式</w:t>
      </w:r>
      <w:r>
        <w:rPr>
          <w:rFonts w:hint="eastAsia" w:ascii="宋体" w:hAnsi="宋体" w:eastAsia="宋体" w:cs="宋体"/>
          <w:b/>
          <w:bCs/>
          <w:sz w:val="24"/>
          <w:szCs w:val="24"/>
          <w:lang w:val="en-US" w:eastAsia="zh-CN"/>
        </w:rPr>
      </w:r>
      <w:r/>
    </w:p>
    <w:p>
      <w:pPr>
        <w:pStyle w:val="651"/>
        <w:numPr>
          <w:ilvl w:val="0"/>
          <w:numId w:val="0"/>
        </w:numPr>
        <w:contextualSpacing/>
        <w:ind w:firstLine="24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本项目</w:t>
      </w:r>
      <w:r>
        <w:rPr>
          <w:rFonts w:hint="eastAsia" w:ascii="宋体" w:hAnsi="宋体" w:eastAsia="宋体" w:cs="宋体"/>
          <w:b/>
          <w:bCs w:val="0"/>
          <w:color w:val="000000"/>
          <w:sz w:val="24"/>
          <w:szCs w:val="24"/>
          <w:highlight w:val="none"/>
          <w:u w:val="single"/>
          <w:lang w:val="en-US" w:eastAsia="zh-CN"/>
        </w:rPr>
        <w:t xml:space="preserve">按总价报价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val="0"/>
          <w:bCs/>
          <w:color w:val="000000"/>
          <w:sz w:val="24"/>
          <w:szCs w:val="24"/>
          <w:lang w:val="en-US" w:eastAsia="zh-CN"/>
        </w:rPr>
        <w:t xml:space="preserve">包括但不限于该项目所有服务、人工、设备、保险、调试、验收、备品备件、专用工具、二次运输、技术服务、增值税、风险、税金、利润以及政策性文件规定的各项应有费用。甲方不再支付报价以外的任何费用。</w:t>
      </w:r>
      <w:r>
        <w:rPr>
          <w:rFonts w:hint="eastAsia" w:ascii="宋体" w:hAnsi="宋体" w:eastAsia="宋体" w:cs="宋体"/>
          <w:b w:val="0"/>
          <w:bCs/>
          <w:color w:val="000000"/>
          <w:sz w:val="24"/>
          <w:szCs w:val="24"/>
          <w:lang w:val="en-US" w:eastAsia="zh-CN"/>
        </w:rPr>
      </w:r>
      <w:r/>
    </w:p>
    <w:p>
      <w:pPr>
        <w:pStyle w:val="651"/>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yellow"/>
          <w:lang w:val="en-US" w:eastAsia="zh-CN"/>
        </w:rPr>
      </w:r>
      <w:r/>
    </w:p>
    <w:p>
      <w:pPr>
        <w:pStyle w:val="651"/>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val="0"/>
          <w:bCs/>
          <w:color w:val="000000"/>
          <w:sz w:val="24"/>
          <w:szCs w:val="24"/>
          <w:highlight w:val="yellow"/>
          <w:lang w:val="en-US" w:eastAsia="zh-CN"/>
        </w:rPr>
      </w:r>
      <w:r/>
    </w:p>
    <w:p>
      <w:pPr>
        <w:pStyle w:val="651"/>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第六章   拟签订的合同文本</w:t>
      </w:r>
      <w:bookmarkEnd w:id="811"/>
      <w:r>
        <w:rPr>
          <w:b/>
          <w:sz w:val="36"/>
          <w:szCs w:val="36"/>
        </w:rPr>
      </w:r>
      <w:r/>
    </w:p>
    <w:p>
      <w:pPr>
        <w:pStyle w:val="651"/>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51"/>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51"/>
        <w:jc w:val="center"/>
        <w:keepLines w:val="0"/>
        <w:keepNext w:val="0"/>
        <w:pageBreakBefore w:val="0"/>
        <w:spacing w:line="360" w:lineRule="auto"/>
        <w:widowControl w:val="off"/>
        <w:rPr>
          <w:rFonts w:hint="eastAsia"/>
          <w:b/>
          <w:sz w:val="36"/>
          <w:szCs w:val="36"/>
        </w:rPr>
        <w:outlineLvl w:val="9"/>
      </w:pPr>
      <w:r>
        <w:rPr>
          <w:rFonts w:hint="eastAsia" w:ascii="宋体" w:hAnsi="宋体" w:cs="宋体"/>
          <w:b/>
          <w:sz w:val="36"/>
          <w:szCs w:val="36"/>
          <w:lang w:eastAsia="zh-CN"/>
        </w:rPr>
        <w:t xml:space="preserve">等级医院评审指标和重点专科指标管理服务项目</w:t>
      </w:r>
      <w:r>
        <w:rPr>
          <w:rFonts w:hint="eastAsia" w:ascii="宋体" w:hAnsi="宋体" w:cs="宋体"/>
          <w:b/>
          <w:sz w:val="36"/>
          <w:szCs w:val="36"/>
        </w:rPr>
        <w:t xml:space="preserve">合同</w:t>
      </w:r>
      <w:r>
        <w:rPr>
          <w:rFonts w:hint="eastAsia"/>
          <w:b/>
          <w:sz w:val="36"/>
          <w:szCs w:val="36"/>
        </w:rPr>
      </w:r>
      <w:r/>
    </w:p>
    <w:p>
      <w:pPr>
        <w:pStyle w:val="651"/>
        <w:jc w:val="both"/>
        <w:spacing w:line="360" w:lineRule="auto"/>
        <w:rPr>
          <w:rFonts w:hint="eastAsia"/>
          <w:b/>
          <w:sz w:val="36"/>
          <w:szCs w:val="36"/>
        </w:rPr>
        <w:outlineLvl w:val="0"/>
      </w:pPr>
      <w:r>
        <w:rPr>
          <w:rFonts w:hint="eastAsia"/>
          <w:b/>
          <w:sz w:val="36"/>
          <w:szCs w:val="36"/>
        </w:rPr>
      </w:r>
      <w:r/>
    </w:p>
    <w:p>
      <w:pPr>
        <w:pStyle w:val="651"/>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651"/>
        <w:ind w:firstLine="843"/>
        <w:jc w:val="left"/>
        <w:keepLines w:val="0"/>
        <w:keepNext w:val="0"/>
        <w:pageBreakBefore w:val="0"/>
        <w:spacing w:line="480" w:lineRule="auto"/>
        <w:widowControl w:val="off"/>
        <w:rPr>
          <w:rFonts w:ascii="宋体" w:hAnsi="宋体" w:eastAsia="宋体" w:cs="宋体"/>
          <w:b/>
          <w:sz w:val="28"/>
          <w:szCs w:val="28"/>
          <w:lang w:val="en-US" w:eastAsia="zh-CN"/>
        </w:rPr>
        <w:outlineLvl w:val="9"/>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651"/>
        <w:ind w:firstLine="843"/>
        <w:jc w:val="left"/>
        <w:keepLines w:val="0"/>
        <w:keepNext w:val="0"/>
        <w:pageBreakBefore w:val="0"/>
        <w:spacing w:line="480" w:lineRule="auto"/>
        <w:widowControl w:val="off"/>
        <w:rPr>
          <w:rFonts w:hint="eastAsia" w:ascii="宋体" w:hAnsi="宋体" w:eastAsia="宋体" w:cs="宋体"/>
          <w:b/>
          <w:sz w:val="28"/>
          <w:szCs w:val="28"/>
          <w:lang w:eastAsia="zh-CN"/>
        </w:rPr>
        <w:outlineLvl w:val="9"/>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651"/>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651"/>
        <w:ind w:firstLine="843"/>
        <w:jc w:val="left"/>
        <w:keepLines w:val="0"/>
        <w:keepNext w:val="0"/>
        <w:pageBreakBefore w:val="0"/>
        <w:spacing w:line="480" w:lineRule="auto"/>
        <w:widowControl w:val="off"/>
        <w:rPr>
          <w:rFonts w:hint="eastAsia" w:ascii="宋体" w:hAnsi="宋体" w:eastAsia="宋体" w:cs="宋体"/>
          <w:b/>
          <w:sz w:val="28"/>
          <w:szCs w:val="28"/>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eastAsia="宋体" w:cs="宋体"/>
          <w:b/>
          <w:sz w:val="28"/>
          <w:szCs w:val="28"/>
        </w:rPr>
        <w:t xml:space="preserve">供应商名称：</w:t>
      </w:r>
      <w:bookmarkStart w:id="816" w:name="_Toc99301426"/>
      <w:r>
        <w:rPr>
          <w:rFonts w:hint="eastAsia" w:ascii="宋体" w:hAnsi="宋体" w:eastAsia="宋体" w:cs="宋体"/>
          <w:b/>
          <w:sz w:val="28"/>
          <w:szCs w:val="28"/>
        </w:rPr>
      </w:r>
      <w:r/>
    </w:p>
    <w:p>
      <w:pPr>
        <w:pStyle w:val="651"/>
        <w:ind w:firstLine="964"/>
        <w:jc w:val="left"/>
        <w:keepLines w:val="0"/>
        <w:keepNext w:val="0"/>
        <w:pageBreakBefore w:val="0"/>
        <w:spacing w:line="48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eastAsia="zh-CN"/>
        </w:rPr>
        <w:t xml:space="preserve">等级医院评审指标和重点专科指标管理服务项目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651"/>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651"/>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651"/>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lang w:val="zh-CN" w:bidi="zh-CN"/>
        </w:rPr>
      </w:r>
      <w:r/>
    </w:p>
    <w:p>
      <w:pPr>
        <w:pStyle w:val="651"/>
        <w:ind w:left="0" w:firstLine="720"/>
        <w:jc w:val="left"/>
        <w:keepLines w:val="0"/>
        <w:keepNext w:val="0"/>
        <w:pageBreakBefore w:val="0"/>
        <w:spacing w:line="400" w:lineRule="exact"/>
        <w:rPr>
          <w:rFonts w:hint="eastAsia" w:ascii="宋体" w:hAnsi="宋体" w:eastAsia="宋体" w:cs="宋体"/>
          <w:sz w:val="24"/>
          <w:szCs w:val="24"/>
          <w:u w:val="single"/>
          <w:lang w:bidi="zh-CN"/>
        </w:rPr>
        <w:outlineLvl w:val="9"/>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651"/>
        <w:ind w:left="0" w:firstLine="720"/>
        <w:jc w:val="left"/>
        <w:keepLines w:val="0"/>
        <w:keepNext w:val="0"/>
        <w:pageBreakBefore w:val="0"/>
        <w:spacing w:line="400" w:lineRule="exact"/>
        <w:rPr>
          <w:rFonts w:hint="eastAsia" w:ascii="宋体" w:hAnsi="宋体" w:eastAsia="宋体" w:cs="宋体"/>
          <w:sz w:val="24"/>
          <w:szCs w:val="24"/>
          <w:lang w:bidi="zh-CN"/>
        </w:rPr>
        <w:outlineLvl w:val="9"/>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651"/>
        <w:contextualSpacing/>
        <w:ind w:left="0" w:firstLine="241"/>
        <w:jc w:val="both"/>
        <w:keepLines w:val="0"/>
        <w:keepNext w:val="0"/>
        <w:pageBreakBefore w:val="0"/>
        <w:spacing w:line="400" w:lineRule="exact"/>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
          <w:sz w:val="24"/>
          <w:szCs w:val="24"/>
          <w:lang w:val="en-US" w:eastAsia="zh-CN" w:bidi="ar-SA"/>
        </w:rPr>
        <w:t xml:space="preserve">一、采购标的</w:t>
      </w:r>
      <w:r>
        <w:rPr>
          <w:rFonts w:hint="eastAsia" w:ascii="宋体" w:hAnsi="宋体" w:eastAsia="宋体" w:cs="宋体"/>
          <w:bCs/>
          <w:sz w:val="24"/>
          <w:szCs w:val="24"/>
          <w:lang w:val="en-US" w:eastAsia="zh-CN" w:bidi="ar-SA"/>
        </w:rPr>
      </w:r>
      <w:r/>
    </w:p>
    <w:p>
      <w:pPr>
        <w:pStyle w:val="651"/>
        <w:ind w:left="0" w:firstLine="720"/>
        <w:jc w:val="left"/>
        <w:keepLines w:val="0"/>
        <w:keepNext w:val="0"/>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w:t>
      </w:r>
      <w:r>
        <w:rPr>
          <w:rFonts w:hint="eastAsia" w:ascii="宋体" w:hAnsi="宋体" w:eastAsia="宋体" w:cs="宋体"/>
          <w:bCs/>
          <w:color w:val="000000"/>
          <w:sz w:val="24"/>
          <w:szCs w:val="24"/>
        </w:rPr>
        <w:t xml:space="preserve">的名称：</w:t>
      </w:r>
      <w:r>
        <w:rPr>
          <w:rFonts w:hint="eastAsia" w:ascii="宋体" w:hAnsi="宋体" w:eastAsia="宋体" w:cs="宋体"/>
          <w:bCs/>
          <w:color w:val="000000"/>
          <w:sz w:val="24"/>
          <w:szCs w:val="24"/>
          <w:lang w:eastAsia="zh-CN"/>
        </w:rPr>
        <w:t xml:space="preserve">等级医院评审指标和重点专科指标管理服务项目</w:t>
      </w:r>
      <w:r>
        <w:rPr>
          <w:rFonts w:hint="eastAsia" w:ascii="宋体" w:hAnsi="宋体" w:eastAsia="宋体" w:cs="宋体"/>
          <w:bCs/>
          <w:color w:val="000000"/>
          <w:sz w:val="24"/>
          <w:szCs w:val="24"/>
        </w:rPr>
      </w:r>
      <w:r/>
    </w:p>
    <w:p>
      <w:pPr>
        <w:pStyle w:val="651"/>
        <w:ind w:left="0" w:firstLine="720"/>
        <w:jc w:val="left"/>
        <w:keepLines w:val="0"/>
        <w:keepNext w:val="0"/>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标的质量：</w:t>
      </w:r>
      <w:r>
        <w:rPr>
          <w:rFonts w:hint="eastAsia" w:ascii="宋体" w:hAnsi="宋体" w:eastAsia="宋体" w:cs="宋体"/>
          <w:bCs/>
          <w:color w:val="000000"/>
          <w:sz w:val="24"/>
          <w:szCs w:val="24"/>
          <w:lang w:val="en-US" w:eastAsia="zh-CN"/>
        </w:rPr>
        <w:t xml:space="preserve">合格，满足甲方要求、符合行业及国家规定标准。</w:t>
      </w:r>
      <w:r>
        <w:rPr>
          <w:rFonts w:hint="eastAsia" w:ascii="宋体" w:hAnsi="宋体" w:eastAsia="宋体" w:cs="宋体"/>
          <w:bCs/>
          <w:color w:val="000000"/>
          <w:sz w:val="24"/>
          <w:szCs w:val="24"/>
          <w:lang w:val="en-US" w:eastAsia="zh-CN"/>
        </w:rPr>
      </w:r>
      <w:r/>
    </w:p>
    <w:p>
      <w:pPr>
        <w:pStyle w:val="651"/>
        <w:ind w:left="0" w:firstLine="720"/>
        <w:jc w:val="left"/>
        <w:keepLines w:val="0"/>
        <w:keepNext w:val="0"/>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履行时间（期限）：</w:t>
      </w:r>
      <w:r>
        <w:rPr>
          <w:rFonts w:hint="eastAsia" w:ascii="宋体" w:hAnsi="宋体" w:eastAsia="宋体" w:cs="宋体"/>
          <w:bCs/>
          <w:color w:val="0000ff"/>
          <w:sz w:val="24"/>
          <w:szCs w:val="24"/>
          <w:highlight w:val="none"/>
          <w:u w:val="single"/>
          <w:lang w:val="en-US" w:eastAsia="zh-CN"/>
        </w:rPr>
        <w:t xml:space="preserve">自合同签订之日起至2027年6月30日前，实现初步评审条件；整体项目需在2027年12月31日前完成交付。</w:t>
      </w:r>
      <w:r>
        <w:rPr>
          <w:rFonts w:hint="eastAsia" w:ascii="宋体" w:hAnsi="宋体" w:eastAsia="宋体" w:cs="宋体"/>
          <w:bCs/>
          <w:color w:val="000000"/>
          <w:sz w:val="24"/>
          <w:szCs w:val="24"/>
          <w:lang w:val="en-US" w:eastAsia="zh-CN"/>
        </w:rPr>
      </w:r>
      <w:r/>
    </w:p>
    <w:p>
      <w:pPr>
        <w:pStyle w:val="651"/>
        <w:ind w:left="0" w:firstLine="720"/>
        <w:jc w:val="left"/>
        <w:keepLines w:val="0"/>
        <w:keepNext w:val="0"/>
        <w:pageBreakBefore w:val="0"/>
        <w:spacing w:line="400" w:lineRule="exact"/>
        <w:widowControl/>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履行地点：</w:t>
      </w:r>
      <w:r>
        <w:rPr>
          <w:rFonts w:hint="eastAsia" w:ascii="宋体" w:hAnsi="宋体" w:eastAsia="宋体" w:cs="宋体"/>
          <w:bCs/>
          <w:color w:val="000000"/>
          <w:sz w:val="24"/>
          <w:szCs w:val="24"/>
          <w:highlight w:val="none"/>
          <w:u w:val="single"/>
          <w:lang w:val="en-US" w:eastAsia="zh-CN"/>
        </w:rPr>
        <w:t xml:space="preserve">常州市金坛第一人民医院。</w:t>
      </w:r>
      <w:r>
        <w:rPr>
          <w:rFonts w:hint="eastAsia" w:ascii="宋体" w:hAnsi="宋体" w:eastAsia="宋体" w:cs="宋体"/>
          <w:bCs/>
          <w:color w:val="000000"/>
          <w:sz w:val="24"/>
          <w:szCs w:val="24"/>
        </w:rPr>
      </w:r>
      <w:r/>
    </w:p>
    <w:p>
      <w:pPr>
        <w:pStyle w:val="651"/>
        <w:ind w:left="0" w:firstLine="720"/>
        <w:jc w:val="left"/>
        <w:keepLines w:val="0"/>
        <w:keepNext w:val="0"/>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履行方式：</w:t>
      </w:r>
      <w:r>
        <w:rPr>
          <w:rFonts w:hint="eastAsia" w:ascii="宋体" w:hAnsi="宋体" w:eastAsia="宋体" w:cs="宋体"/>
          <w:bCs/>
          <w:color w:val="000000"/>
          <w:sz w:val="24"/>
          <w:szCs w:val="24"/>
          <w:lang w:val="en-US" w:eastAsia="zh-CN"/>
        </w:rPr>
        <w:t xml:space="preserve">现场服务</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651"/>
        <w:contextualSpacing/>
        <w:ind w:left="0" w:firstLine="241"/>
        <w:jc w:val="left"/>
        <w:keepLines w:val="0"/>
        <w:keepNext w:val="0"/>
        <w:pageBreakBefore w:val="0"/>
        <w:spacing w:line="400" w:lineRule="exact"/>
        <w:widowControl w:val="off"/>
        <w:rPr>
          <w:rFonts w:hint="eastAsia" w:ascii="宋体" w:hAnsi="宋体" w:eastAsia="宋体" w:cs="宋体"/>
          <w:color w:val="000000"/>
          <w:sz w:val="24"/>
          <w:szCs w:val="24"/>
          <w:lang w:val="en-US" w:bidi="zh-CN"/>
        </w:rPr>
        <w:outlineLvl w:val="9"/>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zh-CN"/>
        </w:rPr>
        <w:t xml:space="preserve">合同总价</w:t>
      </w:r>
      <w:r>
        <w:rPr>
          <w:rFonts w:hint="eastAsia" w:ascii="宋体" w:hAnsi="宋体" w:eastAsia="宋体" w:cs="宋体"/>
          <w:color w:val="000000"/>
          <w:sz w:val="24"/>
          <w:szCs w:val="24"/>
          <w:lang w:val="en-US" w:bidi="zh-CN"/>
        </w:rPr>
      </w:r>
      <w:r/>
    </w:p>
    <w:p>
      <w:pPr>
        <w:pStyle w:val="651"/>
        <w:ind w:left="0" w:firstLine="720"/>
        <w:jc w:val="left"/>
        <w:keepLines w:val="0"/>
        <w:keepNext w:val="0"/>
        <w:pageBreakBefore w:val="0"/>
        <w:spacing w:line="400" w:lineRule="exact"/>
        <w:rPr>
          <w:rFonts w:hint="eastAsia" w:ascii="宋体" w:hAnsi="宋体" w:eastAsia="宋体" w:cs="宋体"/>
          <w:color w:val="0000ff"/>
          <w:spacing w:val="-4"/>
          <w:sz w:val="24"/>
          <w:szCs w:val="24"/>
          <w:u w:val="single"/>
        </w:rPr>
        <w:outlineLvl w:val="9"/>
      </w:pPr>
      <w:r>
        <w:rPr>
          <w:rFonts w:hint="eastAsia" w:ascii="宋体" w:hAnsi="宋体" w:eastAsia="宋体" w:cs="宋体"/>
          <w:color w:val="000000"/>
          <w:sz w:val="24"/>
          <w:szCs w:val="24"/>
          <w:lang w:val="en-US" w:bidi="zh-CN"/>
        </w:rPr>
        <w:t xml:space="preserve">1</w:t>
      </w:r>
      <w:r>
        <w:rPr>
          <w:rFonts w:hint="eastAsia" w:ascii="宋体" w:hAnsi="宋体" w:eastAsia="宋体" w:cs="宋体"/>
          <w:color w:val="000000"/>
          <w:sz w:val="24"/>
          <w:szCs w:val="24"/>
          <w:lang w:bidi="zh-CN"/>
        </w:rPr>
        <w:t xml:space="preserve">、本合同总价为：</w:t>
      </w:r>
      <w:r>
        <w:rPr>
          <w:rFonts w:hint="eastAsia" w:ascii="宋体" w:hAnsi="宋体" w:eastAsia="宋体" w:cs="宋体"/>
          <w:color w:val="0000ff"/>
          <w:spacing w:val="-4"/>
          <w:sz w:val="24"/>
          <w:szCs w:val="24"/>
          <w:u w:val="single"/>
        </w:rPr>
        <w:t xml:space="preserve">人民币      </w:t>
      </w:r>
      <w:r>
        <w:rPr>
          <w:rFonts w:hint="eastAsia" w:ascii="宋体" w:hAnsi="宋体" w:eastAsia="宋体" w:cs="宋体"/>
          <w:color w:val="0000ff"/>
          <w:spacing w:val="-4"/>
          <w:sz w:val="24"/>
          <w:szCs w:val="24"/>
          <w:u w:val="single"/>
          <w:lang w:val="en-US"/>
        </w:rPr>
        <w:t xml:space="preserve">     </w:t>
      </w:r>
      <w:r>
        <w:rPr>
          <w:rFonts w:hint="eastAsia" w:ascii="宋体" w:hAnsi="宋体" w:eastAsia="宋体" w:cs="宋体"/>
          <w:color w:val="0000ff"/>
          <w:spacing w:val="-4"/>
          <w:sz w:val="24"/>
          <w:szCs w:val="24"/>
          <w:u w:val="single"/>
        </w:rPr>
        <w:t xml:space="preserve"> 元整，</w:t>
      </w:r>
      <w:r>
        <w:rPr>
          <w:rFonts w:hint="eastAsia" w:ascii="宋体" w:hAnsi="宋体" w:eastAsia="宋体" w:cs="宋体"/>
          <w:color w:val="0000ff"/>
          <w:spacing w:val="-4"/>
          <w:sz w:val="24"/>
          <w:szCs w:val="24"/>
          <w:u w:val="single"/>
          <w:lang w:val="en-US"/>
        </w:rPr>
        <w:t xml:space="preserve">小写：   元</w:t>
      </w:r>
      <w:r>
        <w:rPr>
          <w:rFonts w:hint="eastAsia" w:ascii="宋体" w:hAnsi="宋体" w:eastAsia="宋体" w:cs="宋体"/>
          <w:color w:val="0000ff"/>
          <w:spacing w:val="-4"/>
          <w:sz w:val="24"/>
          <w:szCs w:val="24"/>
          <w:u w:val="single"/>
        </w:rPr>
        <w:t xml:space="preserve">。</w:t>
      </w:r>
      <w:r>
        <w:rPr>
          <w:rFonts w:hint="eastAsia" w:ascii="宋体" w:hAnsi="宋体" w:eastAsia="宋体" w:cs="宋体"/>
          <w:color w:val="0000ff"/>
          <w:spacing w:val="-4"/>
          <w:sz w:val="24"/>
          <w:szCs w:val="24"/>
          <w:u w:val="single"/>
        </w:rPr>
      </w:r>
      <w:r/>
    </w:p>
    <w:p>
      <w:pPr>
        <w:pStyle w:val="651"/>
        <w:ind w:left="0" w:firstLine="720"/>
        <w:jc w:val="left"/>
        <w:keepLines w:val="0"/>
        <w:keepNext w:val="0"/>
        <w:pageBreakBefore w:val="0"/>
        <w:spacing w:line="400" w:lineRule="exact"/>
        <w:rPr>
          <w:rFonts w:hint="eastAsia" w:ascii="宋体" w:hAnsi="宋体" w:eastAsia="宋体" w:cs="宋体"/>
          <w:color w:val="000000"/>
          <w:sz w:val="24"/>
          <w:szCs w:val="24"/>
          <w:u w:val="single"/>
          <w:lang w:bidi="zh-CN"/>
        </w:rPr>
        <w:outlineLvl w:val="9"/>
      </w:pPr>
      <w:r>
        <w:rPr>
          <w:rFonts w:hint="eastAsia" w:ascii="宋体" w:hAnsi="宋体" w:eastAsia="宋体" w:cs="宋体"/>
          <w:color w:val="000000"/>
          <w:sz w:val="24"/>
          <w:szCs w:val="24"/>
          <w:lang w:val="en-US" w:bidi="zh-CN"/>
        </w:rPr>
        <w:t xml:space="preserve">2</w:t>
      </w:r>
      <w:r>
        <w:rPr>
          <w:rFonts w:hint="eastAsia" w:ascii="宋体" w:hAnsi="宋体" w:eastAsia="宋体" w:cs="宋体"/>
          <w:color w:val="000000"/>
          <w:sz w:val="24"/>
          <w:szCs w:val="24"/>
          <w:lang w:bidi="zh-CN"/>
        </w:rPr>
        <w:t xml:space="preserve">、合同价格形式：</w:t>
      </w:r>
      <w:r>
        <w:rPr>
          <w:rFonts w:hint="eastAsia" w:ascii="宋体" w:hAnsi="宋体" w:eastAsia="宋体" w:cs="宋体"/>
          <w:color w:val="000000"/>
          <w:sz w:val="24"/>
          <w:szCs w:val="24"/>
          <w:u w:val="single"/>
          <w:lang w:val="en-US" w:bidi="zh-CN"/>
        </w:rPr>
        <w:t xml:space="preserve">固定总价</w:t>
      </w:r>
      <w:r>
        <w:rPr>
          <w:rFonts w:hint="eastAsia" w:ascii="宋体" w:hAnsi="宋体" w:eastAsia="宋体" w:cs="宋体"/>
          <w:color w:val="000000"/>
          <w:sz w:val="24"/>
          <w:szCs w:val="24"/>
          <w:u w:val="single"/>
          <w:lang w:bidi="zh-CN"/>
        </w:rPr>
        <w:t xml:space="preserve">  </w:t>
      </w:r>
      <w:r>
        <w:rPr>
          <w:rFonts w:hint="eastAsia" w:ascii="宋体" w:hAnsi="宋体" w:eastAsia="宋体" w:cs="宋体"/>
          <w:color w:val="000000"/>
          <w:sz w:val="24"/>
          <w:szCs w:val="24"/>
          <w:u w:val="single"/>
          <w:lang w:bidi="zh-CN"/>
        </w:rPr>
      </w:r>
      <w:r/>
    </w:p>
    <w:p>
      <w:pPr>
        <w:pStyle w:val="651"/>
        <w:numPr>
          <w:ilvl w:val="0"/>
          <w:numId w:val="0"/>
        </w:numPr>
        <w:contextualSpacing/>
        <w:ind w:firstLine="960"/>
        <w:jc w:val="left"/>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lang w:bidi="zh-CN"/>
        </w:rPr>
      </w:pPr>
      <w:r>
        <w:rPr>
          <w:rFonts w:hint="eastAsia" w:ascii="宋体" w:hAnsi="宋体" w:eastAsia="宋体" w:cs="宋体"/>
          <w:color w:val="000000"/>
          <w:sz w:val="24"/>
          <w:szCs w:val="24"/>
          <w:lang w:val="en-US" w:eastAsia="zh-CN"/>
        </w:rPr>
        <w:t xml:space="preserve">合同价</w:t>
      </w:r>
      <w:r>
        <w:rPr>
          <w:rFonts w:hint="eastAsia" w:ascii="宋体" w:hAnsi="宋体" w:eastAsia="宋体" w:cs="宋体"/>
          <w:b w:val="0"/>
          <w:bCs/>
          <w:color w:val="000000"/>
          <w:sz w:val="24"/>
          <w:szCs w:val="24"/>
          <w:lang w:val="en-US" w:eastAsia="zh-CN"/>
        </w:rPr>
        <w:t xml:space="preserve">包括但不限于该项目所有服务、人工、设备、保险、调试、验收、备品备件、专用工具、二次运输、技术服务、增值税、风险、税金、利润以及政策性文件规定的各项应有费用。甲方不再支付报价以外的任何费用。</w:t>
      </w:r>
      <w:r>
        <w:rPr>
          <w:rFonts w:hint="eastAsia" w:ascii="宋体" w:hAnsi="宋体" w:eastAsia="宋体" w:cs="宋体"/>
          <w:b/>
          <w:bCs/>
          <w:color w:val="000000"/>
          <w:sz w:val="24"/>
          <w:szCs w:val="24"/>
          <w:lang w:bidi="zh-CN"/>
        </w:rPr>
      </w:r>
      <w:r/>
    </w:p>
    <w:p>
      <w:pPr>
        <w:pStyle w:val="651"/>
        <w:ind w:left="0" w:right="0"/>
        <w:jc w:val="left"/>
        <w:keepLines/>
        <w:keepNext/>
        <w:pageBreakBefore w:val="0"/>
        <w:spacing w:before="0" w:line="400" w:lineRule="exact"/>
        <w:widowControl/>
        <w:rPr>
          <w:rFonts w:ascii="宋体" w:hAnsi="宋体" w:eastAsia="宋体" w:cs="宋体"/>
          <w:b/>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三、服务内容及要求：详见采购需求</w:t>
      </w:r>
      <w:r>
        <w:rPr>
          <w:rFonts w:ascii="宋体" w:hAnsi="宋体" w:eastAsia="宋体" w:cs="宋体"/>
          <w:b/>
          <w:sz w:val="24"/>
          <w:szCs w:val="24"/>
          <w:highlight w:val="none"/>
          <w:lang w:val="en-US" w:eastAsia="zh-CN" w:bidi="ar-SA"/>
        </w:rPr>
      </w:r>
      <w:r/>
    </w:p>
    <w:p>
      <w:pPr>
        <w:pStyle w:val="651"/>
        <w:jc w:val="left"/>
        <w:keepLines w:val="0"/>
        <w:keepNext w:val="0"/>
        <w:pageBreakBefore w:val="0"/>
        <w:spacing w:line="400" w:lineRule="exact"/>
        <w:rPr>
          <w:rFonts w:hint="eastAsia" w:ascii="宋体" w:hAnsi="宋体" w:eastAsia="宋体" w:cs="宋体"/>
          <w:b w:val="0"/>
          <w:bCs/>
          <w:color w:val="0000ff"/>
          <w:sz w:val="24"/>
          <w:szCs w:val="24"/>
          <w:highlight w:val="none"/>
          <w:lang w:val="en-US" w:eastAsia="zh-CN"/>
        </w:rPr>
        <w:outlineLvl w:val="9"/>
      </w:pPr>
      <w:r>
        <w:rPr>
          <w:rFonts w:hint="eastAsia" w:ascii="宋体" w:hAnsi="宋体" w:eastAsia="宋体" w:cs="宋体"/>
          <w:b/>
          <w:bCs/>
          <w:color w:val="000000"/>
          <w:sz w:val="24"/>
          <w:szCs w:val="24"/>
          <w:highlight w:val="none"/>
          <w:lang w:val="en-US" w:bidi="zh-CN"/>
        </w:rPr>
        <w:t xml:space="preserve">四、</w:t>
      </w:r>
      <w:r>
        <w:rPr>
          <w:rFonts w:hint="eastAsia" w:ascii="宋体" w:hAnsi="宋体" w:eastAsia="宋体" w:cs="宋体"/>
          <w:b/>
          <w:bCs/>
          <w:color w:val="000000"/>
          <w:sz w:val="24"/>
          <w:szCs w:val="24"/>
          <w:highlight w:val="none"/>
          <w:lang w:bidi="zh-CN"/>
        </w:rPr>
        <w:t xml:space="preserve">付款方式</w:t>
      </w:r>
      <w:r>
        <w:rPr>
          <w:rFonts w:hint="eastAsia" w:ascii="宋体" w:hAnsi="宋体" w:eastAsia="宋体" w:cs="宋体"/>
          <w:b w:val="0"/>
          <w:bCs/>
          <w:color w:val="0000ff"/>
          <w:sz w:val="24"/>
          <w:szCs w:val="24"/>
          <w:highlight w:val="none"/>
          <w:lang w:val="en-US" w:eastAsia="zh-CN"/>
        </w:rPr>
      </w:r>
      <w:r/>
    </w:p>
    <w:p>
      <w:pPr>
        <w:pStyle w:val="651"/>
        <w:contextualSpacing/>
        <w:ind w:left="0" w:firstLine="480"/>
        <w:keepLines w:val="0"/>
        <w:keepNext w:val="0"/>
        <w:pageBreakBefore w:val="0"/>
        <w:spacing w:beforeAutospacing="0" w:afterAutospacing="0" w:line="400" w:lineRule="exact"/>
        <w:widowControl w:val="off"/>
        <w:rPr>
          <w:rFonts w:hint="eastAsia" w:ascii="宋体" w:hAnsi="宋体" w:eastAsia="宋体" w:cs="宋体"/>
          <w:highlight w:val="none"/>
          <w:lang w:eastAsia="zh-CN"/>
        </w:rPr>
      </w:pPr>
      <w:r>
        <w:rPr>
          <w:rFonts w:hint="eastAsia" w:ascii="宋体" w:hAnsi="宋体" w:eastAsia="宋体" w:cs="宋体"/>
          <w:b w:val="0"/>
          <w:bCs/>
          <w:color w:val="0000ff"/>
          <w:sz w:val="24"/>
          <w:szCs w:val="24"/>
          <w:highlight w:val="none"/>
          <w:lang w:val="en-US" w:eastAsia="zh-CN"/>
        </w:rPr>
        <w:t xml:space="preserve">1）</w:t>
      </w:r>
      <w:r>
        <w:rPr>
          <w:rFonts w:hint="eastAsia" w:ascii="宋体" w:hAnsi="宋体" w:eastAsia="宋体" w:cs="宋体"/>
          <w:b w:val="0"/>
          <w:bCs/>
          <w:color w:val="0000ff"/>
          <w:sz w:val="24"/>
          <w:szCs w:val="24"/>
          <w:highlight w:val="none"/>
          <w:lang w:val="en-US" w:eastAsia="zh-CN"/>
        </w:rPr>
        <w:t xml:space="preserve">项目实现初步评审条件</w:t>
      </w:r>
      <w:r>
        <w:rPr>
          <w:rFonts w:hint="eastAsia" w:ascii="宋体" w:hAnsi="宋体" w:eastAsia="宋体" w:cs="宋体"/>
          <w:b w:val="0"/>
          <w:bCs/>
          <w:color w:val="0000ff"/>
          <w:sz w:val="24"/>
          <w:szCs w:val="24"/>
          <w:highlight w:val="none"/>
          <w:lang w:val="en-US" w:eastAsia="zh-CN"/>
        </w:rPr>
        <w:t xml:space="preserve">，经甲方验收合格并签署《阶段验收确认单》后15个工作日内，甲方向乙方支付合同总金额的80%。</w:t>
      </w:r>
      <w:r>
        <w:rPr>
          <w:rFonts w:hint="eastAsia" w:ascii="宋体" w:hAnsi="宋体" w:eastAsia="宋体" w:cs="宋体"/>
          <w:highlight w:val="none"/>
          <w:lang w:eastAsia="zh-CN"/>
        </w:rPr>
      </w:r>
      <w:r/>
    </w:p>
    <w:p>
      <w:pPr>
        <w:pStyle w:val="651"/>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2）整体项目完成交付，且甲方顺利通过等级医院评审/重点专科评审（以官方评审结果公示为凭证），经甲方最终验收合格并签署《项目终验报告》后15个工作日内，甲方向乙方支付剩余合同款项。</w:t>
      </w:r>
      <w:r>
        <w:rPr>
          <w:rFonts w:hint="eastAsia" w:ascii="宋体" w:hAnsi="宋体" w:eastAsia="宋体" w:cs="宋体"/>
          <w:b w:val="0"/>
          <w:bCs/>
          <w:color w:val="0000ff"/>
          <w:sz w:val="24"/>
          <w:szCs w:val="24"/>
          <w:highlight w:val="none"/>
          <w:lang w:val="en-US" w:eastAsia="zh-CN"/>
        </w:rPr>
      </w:r>
      <w:r/>
    </w:p>
    <w:p>
      <w:pPr>
        <w:pStyle w:val="651"/>
        <w:contextualSpacing/>
        <w:ind w:firstLine="24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注：1.付款前，乙</w:t>
      </w:r>
      <w:r>
        <w:rPr>
          <w:rFonts w:hint="eastAsia" w:ascii="宋体" w:hAnsi="宋体" w:eastAsia="宋体" w:cs="宋体"/>
          <w:b w:val="0"/>
          <w:bCs/>
          <w:color w:val="0000ff"/>
          <w:sz w:val="24"/>
          <w:szCs w:val="24"/>
          <w:highlight w:val="none"/>
          <w:lang w:val="en-US" w:eastAsia="zh-CN"/>
        </w:rPr>
        <w:t xml:space="preserve">方需向甲方提供</w:t>
      </w:r>
      <w:r>
        <w:rPr>
          <w:rFonts w:hint="eastAsia" w:ascii="宋体" w:hAnsi="宋体" w:eastAsia="宋体" w:cs="宋体"/>
          <w:b w:val="0"/>
          <w:bCs/>
          <w:color w:val="0000ff"/>
          <w:sz w:val="24"/>
          <w:szCs w:val="24"/>
          <w:highlight w:val="none"/>
          <w:lang w:val="en-US" w:eastAsia="zh-CN"/>
        </w:rPr>
        <w:t xml:space="preserve">等额的普通发票。</w:t>
      </w:r>
      <w:r>
        <w:rPr>
          <w:rFonts w:hint="eastAsia" w:ascii="宋体" w:hAnsi="宋体" w:eastAsia="宋体" w:cs="宋体"/>
          <w:b w:val="0"/>
          <w:bCs/>
          <w:color w:val="0000ff"/>
          <w:sz w:val="24"/>
          <w:szCs w:val="24"/>
          <w:highlight w:val="none"/>
          <w:lang w:val="en-US" w:eastAsia="zh-CN"/>
        </w:rPr>
      </w:r>
      <w:r/>
    </w:p>
    <w:p>
      <w:pPr>
        <w:pStyle w:val="651"/>
        <w:contextualSpacing/>
        <w:ind w:firstLine="72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2.考核扣款在同期服务费中扣除（具体详见合同附件1）。</w:t>
      </w:r>
      <w:r>
        <w:rPr>
          <w:rFonts w:hint="eastAsia" w:ascii="宋体" w:hAnsi="宋体" w:eastAsia="宋体" w:cs="宋体"/>
          <w:b w:val="0"/>
          <w:bCs/>
          <w:color w:val="0000ff"/>
          <w:sz w:val="24"/>
          <w:szCs w:val="24"/>
          <w:highlight w:val="none"/>
          <w:lang w:val="en-US" w:eastAsia="zh-CN"/>
        </w:rPr>
      </w:r>
      <w:r/>
    </w:p>
    <w:p>
      <w:pPr>
        <w:pStyle w:val="651"/>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、双方责任</w:t>
      </w:r>
      <w:r>
        <w:rPr>
          <w:rFonts w:hint="eastAsia" w:ascii="宋体" w:hAnsi="宋体" w:eastAsia="宋体" w:cs="宋体"/>
          <w:b/>
          <w:bCs/>
          <w:color w:val="000000"/>
          <w:sz w:val="24"/>
          <w:szCs w:val="24"/>
        </w:rPr>
      </w:r>
      <w:r/>
    </w:p>
    <w:p>
      <w:pPr>
        <w:pStyle w:val="651"/>
        <w:ind w:left="0" w:firstLine="241"/>
        <w:jc w:val="left"/>
        <w:keepLines w:val="0"/>
        <w:keepNext w:val="0"/>
        <w:pageBreakBefore w:val="0"/>
        <w:spacing w:line="400" w:lineRule="exact"/>
        <w:widowControl/>
        <w:rPr>
          <w:rFonts w:hint="eastAsia" w:ascii="宋体" w:hAnsi="宋体" w:eastAsia="宋体" w:cs="宋体"/>
          <w:color w:val="000000"/>
          <w:sz w:val="24"/>
          <w:szCs w:val="24"/>
          <w:lang w:bidi="ar"/>
        </w:rPr>
        <w:outlineLvl w:val="9"/>
      </w:pPr>
      <w:r>
        <w:rPr>
          <w:rFonts w:hint="eastAsia" w:ascii="宋体" w:hAnsi="宋体" w:eastAsia="宋体" w:cs="宋体"/>
          <w:b/>
          <w:bCs/>
          <w:color w:val="000000"/>
          <w:sz w:val="24"/>
          <w:szCs w:val="24"/>
          <w:lang w:bidi="ar"/>
        </w:rPr>
        <w:t xml:space="preserve">（一）甲方责任</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p>
      <w:pPr>
        <w:pStyle w:val="651"/>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1、在</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rPr>
        <w:t xml:space="preserve">中明确乙方的工作内容及要求；</w:t>
      </w:r>
      <w:r>
        <w:rPr>
          <w:rFonts w:hint="eastAsia" w:ascii="宋体" w:hAnsi="宋体" w:eastAsia="宋体" w:cs="宋体"/>
          <w:color w:val="000000"/>
          <w:sz w:val="24"/>
          <w:szCs w:val="24"/>
        </w:rPr>
      </w:r>
      <w:r/>
    </w:p>
    <w:p>
      <w:pPr>
        <w:pStyle w:val="651"/>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2、如果乙方需要，为乙方提供相关材料；</w:t>
      </w:r>
      <w:r>
        <w:rPr>
          <w:rFonts w:hint="eastAsia" w:ascii="宋体" w:hAnsi="宋体" w:eastAsia="宋体" w:cs="宋体"/>
          <w:color w:val="000000"/>
          <w:sz w:val="24"/>
          <w:szCs w:val="24"/>
        </w:rPr>
      </w:r>
      <w:r/>
    </w:p>
    <w:p>
      <w:pPr>
        <w:pStyle w:val="651"/>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3、对乙方的项目完成进度进行日常</w:t>
      </w:r>
      <w:r>
        <w:rPr>
          <w:rFonts w:hint="eastAsia" w:ascii="宋体" w:hAnsi="宋体" w:eastAsia="宋体" w:cs="宋体"/>
          <w:color w:val="000000"/>
          <w:sz w:val="24"/>
          <w:szCs w:val="24"/>
          <w:lang w:val="en-US" w:eastAsia="zh-CN"/>
        </w:rPr>
        <w:t xml:space="preserve">安全管理</w:t>
      </w:r>
      <w:r>
        <w:rPr>
          <w:rFonts w:hint="eastAsia" w:ascii="宋体" w:hAnsi="宋体" w:eastAsia="宋体" w:cs="宋体"/>
          <w:color w:val="000000"/>
          <w:sz w:val="24"/>
          <w:szCs w:val="24"/>
        </w:rPr>
        <w:t xml:space="preserve">，及时发现问题。</w:t>
      </w:r>
      <w:r>
        <w:rPr>
          <w:rFonts w:hint="eastAsia" w:ascii="宋体" w:hAnsi="宋体" w:eastAsia="宋体" w:cs="宋体"/>
          <w:color w:val="000000"/>
          <w:sz w:val="24"/>
          <w:szCs w:val="24"/>
        </w:rPr>
      </w:r>
      <w:r/>
    </w:p>
    <w:p>
      <w:pPr>
        <w:pStyle w:val="651"/>
        <w:ind w:left="0" w:firstLine="241"/>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（二）乙方责任</w:t>
      </w:r>
      <w:r>
        <w:rPr>
          <w:rFonts w:hint="eastAsia" w:ascii="宋体" w:hAnsi="宋体" w:eastAsia="宋体" w:cs="宋体"/>
          <w:b/>
          <w:bCs/>
          <w:color w:val="000000"/>
          <w:sz w:val="24"/>
          <w:szCs w:val="24"/>
        </w:rPr>
      </w:r>
      <w:r/>
    </w:p>
    <w:p>
      <w:pPr>
        <w:pStyle w:val="651"/>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1、在项目实施过程中，与甲方保持沟通；</w:t>
      </w:r>
      <w:r>
        <w:rPr>
          <w:rFonts w:hint="eastAsia" w:ascii="宋体" w:hAnsi="宋体" w:eastAsia="宋体" w:cs="宋体"/>
          <w:b w:val="0"/>
          <w:bCs w:val="0"/>
          <w:color w:val="000000"/>
          <w:sz w:val="24"/>
          <w:szCs w:val="24"/>
          <w:lang w:val="en-US" w:eastAsia="zh-CN"/>
        </w:rPr>
      </w:r>
      <w:r/>
    </w:p>
    <w:p>
      <w:pPr>
        <w:pStyle w:val="651"/>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2、在法律规定或甲方要求下完成服务；</w:t>
      </w:r>
      <w:r>
        <w:rPr>
          <w:rFonts w:hint="eastAsia" w:ascii="宋体" w:hAnsi="宋体" w:eastAsia="宋体" w:cs="宋体"/>
          <w:color w:val="000000"/>
          <w:sz w:val="24"/>
          <w:szCs w:val="24"/>
          <w:lang w:val="en-US" w:eastAsia="zh-CN"/>
        </w:rPr>
      </w:r>
      <w:r/>
    </w:p>
    <w:p>
      <w:pPr>
        <w:pStyle w:val="651"/>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yellow"/>
          <w:lang w:val="en-US" w:eastAsia="zh-CN"/>
        </w:rPr>
        <w:outlineLvl w:val="9"/>
      </w:pPr>
      <w:r>
        <w:rPr>
          <w:rFonts w:hint="eastAsia" w:ascii="宋体" w:hAnsi="宋体" w:eastAsia="宋体" w:cs="宋体"/>
          <w:color w:val="000000"/>
          <w:sz w:val="24"/>
          <w:szCs w:val="24"/>
          <w:lang w:val="en-US" w:eastAsia="zh-CN"/>
        </w:rPr>
        <w:t xml:space="preserve">3、自觉接受甲方监督，按甲方要求做好各项工作，对存在的问题及时整改。</w:t>
      </w:r>
      <w:r>
        <w:rPr>
          <w:rFonts w:hint="eastAsia" w:ascii="宋体" w:hAnsi="宋体" w:eastAsia="宋体" w:cs="宋体"/>
          <w:b w:val="0"/>
          <w:bCs w:val="0"/>
          <w:color w:val="000000"/>
          <w:sz w:val="24"/>
          <w:szCs w:val="24"/>
          <w:highlight w:val="yellow"/>
          <w:lang w:val="en-US" w:eastAsia="zh-CN"/>
        </w:rPr>
      </w:r>
      <w:r/>
    </w:p>
    <w:p>
      <w:pPr>
        <w:pStyle w:val="651"/>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六、履约检查和问题反馈</w:t>
      </w:r>
      <w:r>
        <w:rPr>
          <w:rFonts w:hint="eastAsia" w:ascii="宋体" w:hAnsi="宋体" w:eastAsia="宋体" w:cs="宋体"/>
          <w:b/>
          <w:bCs/>
          <w:color w:val="000000"/>
          <w:sz w:val="24"/>
          <w:szCs w:val="24"/>
          <w:lang w:val="en-US" w:eastAsia="zh-CN"/>
        </w:rPr>
      </w:r>
      <w:r/>
    </w:p>
    <w:p>
      <w:pPr>
        <w:pStyle w:val="651"/>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应按时进行项目服务，以便甲方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eastAsia="宋体" w:cs="宋体"/>
          <w:b w:val="0"/>
          <w:bCs w:val="0"/>
          <w:color w:val="000000"/>
          <w:sz w:val="24"/>
          <w:szCs w:val="24"/>
          <w:lang w:val="en-US" w:eastAsia="zh-CN"/>
        </w:rPr>
      </w:r>
      <w:r/>
    </w:p>
    <w:p>
      <w:pPr>
        <w:pStyle w:val="651"/>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2、合同履行期间，甲方有权将履行过程中出现的问题反馈给乙方，双方当事人应以书面形式约定需要完善和改进的内容。</w:t>
      </w:r>
      <w:r>
        <w:rPr>
          <w:rFonts w:hint="eastAsia" w:ascii="宋体" w:hAnsi="宋体" w:eastAsia="宋体" w:cs="宋体"/>
          <w:b w:val="0"/>
          <w:bCs w:val="0"/>
          <w:color w:val="000000"/>
          <w:sz w:val="24"/>
          <w:szCs w:val="24"/>
          <w:lang w:val="en-US" w:eastAsia="zh-CN"/>
        </w:rPr>
      </w:r>
      <w:r/>
    </w:p>
    <w:p>
      <w:pPr>
        <w:pStyle w:val="651"/>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651"/>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1.甲方违约责任及违约金支付：</w:t>
      </w:r>
      <w:r>
        <w:rPr>
          <w:rFonts w:hint="eastAsia" w:ascii="宋体" w:hAnsi="宋体" w:eastAsia="宋体" w:cs="宋体"/>
          <w:b/>
          <w:bCs/>
          <w:color w:val="000000"/>
          <w:sz w:val="24"/>
          <w:szCs w:val="24"/>
          <w:lang w:val="en-US" w:eastAsia="zh-CN"/>
        </w:rPr>
      </w:r>
      <w:r/>
    </w:p>
    <w:p>
      <w:pPr>
        <w:pStyle w:val="651"/>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b w:val="0"/>
          <w:bCs w:val="0"/>
          <w:color w:val="000000"/>
          <w:sz w:val="24"/>
          <w:szCs w:val="24"/>
          <w:lang w:val="en-US" w:eastAsia="zh-CN"/>
        </w:rPr>
      </w:r>
      <w:r/>
    </w:p>
    <w:p>
      <w:pPr>
        <w:pStyle w:val="651"/>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(2)合同生效后，如甲方逾期付款，按每日合同金额的0.5%向乙方支付违约金。但累计违约金总额不超过欠款总额的5%。</w:t>
      </w:r>
      <w:r>
        <w:rPr>
          <w:rFonts w:hint="eastAsia" w:ascii="宋体" w:hAnsi="宋体" w:eastAsia="宋体" w:cs="宋体"/>
          <w:b w:val="0"/>
          <w:bCs w:val="0"/>
          <w:color w:val="000000"/>
          <w:sz w:val="24"/>
          <w:szCs w:val="24"/>
          <w:lang w:val="en-US" w:eastAsia="zh-CN"/>
        </w:rPr>
      </w:r>
      <w:r/>
    </w:p>
    <w:p>
      <w:pPr>
        <w:pStyle w:val="651"/>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2.乙方违约责任及违约金支付：</w:t>
      </w:r>
      <w:r>
        <w:rPr>
          <w:rFonts w:hint="eastAsia" w:ascii="宋体" w:hAnsi="宋体" w:eastAsia="宋体" w:cs="宋体"/>
          <w:b/>
          <w:bCs/>
          <w:color w:val="000000"/>
          <w:sz w:val="24"/>
          <w:szCs w:val="24"/>
          <w:lang w:val="en-US" w:eastAsia="zh-CN"/>
        </w:rPr>
      </w:r>
      <w:r/>
    </w:p>
    <w:p>
      <w:pPr>
        <w:pStyle w:val="651"/>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(1)乙方不能按约定提供服务的，或服务不合格从而影响甲方正常使用的，应向甲方偿付合同总价款5%的违约金，违约金不足以补偿损失的甲方有权要求乙方补足。</w:t>
      </w:r>
      <w:r>
        <w:rPr>
          <w:rFonts w:hint="eastAsia" w:ascii="宋体" w:hAnsi="宋体" w:eastAsia="宋体" w:cs="宋体"/>
          <w:b w:val="0"/>
          <w:bCs w:val="0"/>
          <w:color w:val="000000"/>
          <w:sz w:val="24"/>
          <w:szCs w:val="24"/>
          <w:lang w:val="en-US" w:eastAsia="zh-CN"/>
        </w:rPr>
      </w:r>
      <w:r/>
    </w:p>
    <w:p>
      <w:pPr>
        <w:pStyle w:val="651"/>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乙方逾期提供服务的，乙方应按合同价每日0.5%向甲方支付违约金，由甲方从待付款项中扣除。逾期超过约定日期10个工作日不能完成项目的，甲方可解除本合同。乙方因逾期或因其他违约行为导致甲方解除合同的，乙方应向甲方支付合同总值10%的违约金，如造成甲方损失超过违约金的，超出部分由乙方继续承担赔偿责任，甲方不支付乙方已完成服务量的费用。</w:t>
      </w:r>
      <w:r>
        <w:rPr>
          <w:rFonts w:hint="eastAsia" w:ascii="宋体" w:hAnsi="宋体" w:eastAsia="宋体" w:cs="宋体"/>
          <w:b w:val="0"/>
          <w:bCs w:val="0"/>
          <w:color w:val="000000"/>
          <w:sz w:val="24"/>
          <w:szCs w:val="24"/>
          <w:lang w:val="en-US" w:eastAsia="zh-CN"/>
        </w:rPr>
      </w:r>
      <w:r/>
    </w:p>
    <w:p>
      <w:pPr>
        <w:pStyle w:val="651"/>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如果乙方未按合同约定时间作出响应，除因技术所造成的损失由乙方承担外，乙方还应向甲方支付每次合同价</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651"/>
        <w:ind w:left="0" w:firstLine="480"/>
        <w:keepLines w:val="0"/>
        <w:keepNext w:val="0"/>
        <w:pageBreakBefore w:val="0"/>
        <w:spacing w:line="400" w:lineRule="exact"/>
        <w:rPr>
          <w:rFonts w:hint="eastAsia" w:ascii="宋体" w:hAnsi="宋体" w:eastAsia="宋体" w:cs="宋体"/>
          <w:bCs/>
          <w:sz w:val="24"/>
          <w:szCs w:val="24"/>
          <w:lang w:eastAsia="zh-CN"/>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因维护保养原因导致人身伤亡或设备损坏、丢失的，由乙方承担全部责任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5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651"/>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65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651"/>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651"/>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651"/>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上</w:t>
      </w:r>
      <w:r>
        <w:rPr>
          <w:rFonts w:hint="eastAsia" w:ascii="宋体" w:hAnsi="宋体" w:eastAsia="宋体" w:cs="宋体"/>
          <w:sz w:val="24"/>
          <w:szCs w:val="24"/>
          <w:lang w:eastAsia="zh-CN"/>
        </w:rPr>
        <w:t xml:space="preserve">更进一步</w:t>
      </w:r>
      <w:r>
        <w:rPr>
          <w:rFonts w:hint="eastAsia" w:ascii="宋体" w:hAnsi="宋体" w:eastAsia="宋体" w:cs="宋体"/>
          <w:sz w:val="24"/>
          <w:szCs w:val="24"/>
        </w:rPr>
        <w:t xml:space="preserve">履行合同。</w:t>
      </w:r>
      <w:r>
        <w:rPr>
          <w:rFonts w:hint="eastAsia" w:ascii="宋体" w:hAnsi="宋体" w:eastAsia="宋体" w:cs="宋体"/>
          <w:sz w:val="24"/>
          <w:szCs w:val="24"/>
        </w:rPr>
      </w:r>
      <w:r/>
    </w:p>
    <w:p>
      <w:pPr>
        <w:pStyle w:val="65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651"/>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1、双方当事人不得擅自中止或者终止合同；若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651"/>
        <w:ind w:left="0" w:firstLine="480"/>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sz w:val="24"/>
          <w:szCs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651"/>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651"/>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4、合同的部分和全部都不得擅自转让。</w:t>
      </w:r>
      <w:r>
        <w:rPr>
          <w:rFonts w:hint="eastAsia" w:ascii="宋体" w:hAnsi="宋体" w:eastAsia="宋体" w:cs="宋体"/>
          <w:color w:val="000000"/>
          <w:sz w:val="24"/>
          <w:szCs w:val="24"/>
        </w:rPr>
      </w:r>
      <w:r/>
    </w:p>
    <w:p>
      <w:pPr>
        <w:pStyle w:val="651"/>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5、如出现不如实反映情况，提供虚假材料、未按承诺的价格提供服务的，甲方可以解除合同。</w:t>
      </w:r>
      <w:r>
        <w:rPr>
          <w:rFonts w:hint="eastAsia" w:ascii="宋体" w:hAnsi="宋体" w:eastAsia="宋体" w:cs="宋体"/>
          <w:color w:val="000000"/>
          <w:sz w:val="24"/>
          <w:szCs w:val="24"/>
        </w:rPr>
      </w:r>
      <w:r/>
    </w:p>
    <w:p>
      <w:pPr>
        <w:pStyle w:val="651"/>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651"/>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ff"/>
          <w:sz w:val="24"/>
          <w:szCs w:val="24"/>
          <w:highlight w:val="none"/>
        </w:rPr>
        <w:t xml:space="preserve">十</w:t>
      </w:r>
      <w:r>
        <w:rPr>
          <w:rFonts w:hint="eastAsia" w:ascii="宋体" w:hAnsi="宋体" w:eastAsia="宋体" w:cs="宋体"/>
          <w:b/>
          <w:bCs/>
          <w:color w:val="0000ff"/>
          <w:sz w:val="24"/>
          <w:szCs w:val="24"/>
          <w:highlight w:val="none"/>
          <w:lang w:val="en-US" w:eastAsia="zh-CN"/>
        </w:rPr>
        <w:t xml:space="preserve">一</w:t>
      </w:r>
      <w:r>
        <w:rPr>
          <w:rFonts w:hint="eastAsia" w:ascii="宋体" w:hAnsi="宋体" w:eastAsia="宋体" w:cs="宋体"/>
          <w:b/>
          <w:bCs/>
          <w:color w:val="0000ff"/>
          <w:sz w:val="24"/>
          <w:szCs w:val="24"/>
          <w:highlight w:val="none"/>
        </w:rPr>
        <w:t xml:space="preserve">、履约保证金</w:t>
      </w:r>
      <w:r>
        <w:rPr>
          <w:rFonts w:hint="eastAsia" w:ascii="宋体" w:hAnsi="宋体" w:eastAsia="宋体" w:cs="宋体"/>
          <w:b/>
          <w:bCs/>
          <w:color w:val="000000"/>
          <w:sz w:val="24"/>
          <w:szCs w:val="24"/>
          <w:highlight w:val="none"/>
        </w:rPr>
      </w:r>
      <w:r/>
    </w:p>
    <w:p>
      <w:pPr>
        <w:pStyle w:val="651"/>
        <w:ind w:left="0" w:firstLine="480"/>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向</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提供相当于合同总价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ff"/>
          <w:sz w:val="24"/>
          <w:szCs w:val="24"/>
          <w:highlight w:val="none"/>
          <w:u w:val="single"/>
          <w:lang w:val="en-US" w:eastAsia="zh-CN"/>
        </w:rPr>
        <w:t xml:space="preserve">5</w:t>
      </w:r>
      <w:r>
        <w:rPr>
          <w:rFonts w:hint="eastAsia" w:ascii="宋体" w:hAnsi="宋体" w:eastAsia="宋体" w:cs="宋体"/>
          <w:color w:val="0000ff"/>
          <w:sz w:val="24"/>
          <w:szCs w:val="24"/>
          <w:highlight w:val="none"/>
          <w:u w:val="single"/>
          <w:lang w:val="zh-TW"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TW" w:eastAsia="zh-CN"/>
        </w:rPr>
        <w:t xml:space="preserve">的履约保证金（</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自主选择以</w:t>
      </w:r>
      <w:r>
        <w:rPr>
          <w:rFonts w:hint="eastAsia" w:ascii="宋体" w:hAnsi="宋体" w:eastAsia="宋体" w:cs="宋体"/>
          <w:sz w:val="24"/>
          <w:szCs w:val="24"/>
          <w:highlight w:val="none"/>
          <w:lang w:val="en-US" w:eastAsia="zh-CN"/>
        </w:rPr>
        <w:t xml:space="preserve">现金或银行保函</w:t>
      </w:r>
      <w:r>
        <w:rPr>
          <w:rFonts w:hint="eastAsia" w:ascii="宋体" w:hAnsi="宋体" w:eastAsia="宋体" w:cs="宋体"/>
          <w:sz w:val="24"/>
          <w:szCs w:val="24"/>
          <w:highlight w:val="none"/>
          <w:lang w:val="zh-TW" w:eastAsia="zh-CN"/>
        </w:rPr>
        <w:t xml:space="preserve">等形式缴纳或递交），按照省市有关文件精神，鼓励优先采用电子履约保函（保险）形式。</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将在终验完毕后返还乙方履约保证金。</w:t>
      </w:r>
      <w:r>
        <w:rPr>
          <w:rFonts w:hint="eastAsia" w:ascii="宋体" w:hAnsi="宋体" w:eastAsia="宋体" w:cs="宋体"/>
          <w:b/>
          <w:bCs/>
          <w:color w:val="000000"/>
          <w:sz w:val="24"/>
          <w:szCs w:val="24"/>
          <w:highlight w:val="none"/>
          <w:lang w:val="en-US" w:eastAsia="zh-CN"/>
        </w:rPr>
      </w:r>
      <w:r/>
    </w:p>
    <w:p>
      <w:pPr>
        <w:pStyle w:val="65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651"/>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65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651"/>
        <w:numPr>
          <w:ilvl w:val="0"/>
          <w:numId w:val="14"/>
        </w:numPr>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本合同经甲乙双方签字盖章后生效。合同执行期内，双方均不得随意变更或解除合同。如有未尽事宜，须经双方共同协商，作出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651"/>
        <w:numPr>
          <w:ilvl w:val="0"/>
          <w:numId w:val="14"/>
        </w:numPr>
        <w:ind w:left="0" w:firstLine="480"/>
        <w:keepLines w:val="0"/>
        <w:keepNext w:val="0"/>
        <w:pageBreakBefore w:val="0"/>
        <w:spacing w:line="400" w:lineRule="exact"/>
        <w:rPr>
          <w:rFonts w:hint="eastAsia" w:ascii="宋体" w:hAnsi="宋体" w:eastAsia="宋体" w:cs="宋体"/>
          <w:sz w:val="24"/>
          <w:szCs w:val="24"/>
          <w:lang w:val="en-US" w:eastAsia="zh-CN" w:bidi="ar-SA"/>
        </w:rPr>
        <w:outlineLvl w:val="9"/>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651"/>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或委托代理人（签字或盖章）</w:t>
            </w:r>
            <w:r>
              <w:rPr>
                <w:rFonts w:hint="eastAsia" w:ascii="宋体" w:hAnsi="宋体" w:eastAsia="宋体" w:cs="宋体"/>
                <w:b/>
                <w:bCs/>
                <w:sz w:val="24"/>
                <w:szCs w:val="24"/>
              </w:rPr>
            </w:r>
            <w:r/>
          </w:p>
        </w:tc>
      </w:tr>
      <w:tr>
        <w:trPr>
          <w:trHeight w:val="52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51"/>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651"/>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651"/>
        <w:jc w:val="center"/>
        <w:pageBreakBefore w:val="0"/>
        <w:spacing w:line="400" w:lineRule="exact"/>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651"/>
        <w:ind w:right="0"/>
        <w:jc w:val="both"/>
        <w:keepLines w:val="0"/>
        <w:keepNext w:val="0"/>
        <w:pageBreakBefore w:val="0"/>
        <w:spacing w:line="400" w:lineRule="exact"/>
        <w:widowControl/>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附件1：服务质量考核</w:t>
      </w:r>
      <w:r>
        <w:rPr>
          <w:rFonts w:hint="eastAsia" w:ascii="宋体" w:hAnsi="宋体" w:eastAsia="宋体" w:cs="宋体"/>
          <w:b/>
          <w:bCs/>
          <w:sz w:val="24"/>
          <w:szCs w:val="24"/>
          <w:lang w:val="en-US" w:eastAsia="zh-CN" w:bidi="ar-SA"/>
        </w:rPr>
      </w:r>
      <w:r/>
    </w:p>
    <w:tbl>
      <w:tblPr>
        <w:tblW w:w="49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9"/>
        <w:gridCol w:w="901"/>
        <w:gridCol w:w="881"/>
        <w:gridCol w:w="3403"/>
        <w:gridCol w:w="2339"/>
        <w:gridCol w:w="766"/>
        <w:gridCol w:w="735"/>
      </w:tblGrid>
      <w:tr>
        <w:trPr>
          <w:trHeight w:val="767"/>
        </w:trPr>
        <w:tc>
          <w:tcPr>
            <w:tcW w:w="466"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考核类别</w:t>
            </w:r>
            <w:r>
              <w:rPr>
                <w:rFonts w:hint="eastAsia" w:ascii="宋体" w:hAnsi="宋体" w:eastAsia="宋体" w:cs="宋体"/>
                <w:b/>
                <w:bCs/>
                <w:i w:val="0"/>
                <w:iCs w:val="0"/>
                <w:color w:val="000000"/>
                <w:sz w:val="24"/>
                <w:szCs w:val="24"/>
                <w:u w:val="none"/>
              </w:rPr>
            </w:r>
            <w:r/>
          </w:p>
        </w:tc>
        <w:tc>
          <w:tcPr>
            <w:tcW w:w="45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权重</w:t>
            </w:r>
            <w:r>
              <w:rPr>
                <w:rFonts w:hint="eastAsia" w:ascii="宋体" w:hAnsi="宋体" w:eastAsia="宋体" w:cs="宋体"/>
                <w:b/>
                <w:bCs/>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考核子类</w:t>
            </w:r>
            <w:r>
              <w:rPr>
                <w:rFonts w:hint="eastAsia" w:ascii="宋体" w:hAnsi="宋体" w:eastAsia="宋体" w:cs="宋体"/>
                <w:b/>
                <w:bCs/>
                <w:i w:val="0"/>
                <w:iCs w:val="0"/>
                <w:color w:val="000000"/>
                <w:sz w:val="24"/>
                <w:szCs w:val="24"/>
                <w:u w:val="none"/>
              </w:rPr>
            </w:r>
            <w:r/>
          </w:p>
        </w:tc>
        <w:tc>
          <w:tcPr>
            <w:tcW w:w="1709"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考核点</w:t>
            </w:r>
            <w:r>
              <w:rPr>
                <w:rFonts w:hint="eastAsia" w:ascii="宋体" w:hAnsi="宋体" w:eastAsia="宋体" w:cs="宋体"/>
                <w:b/>
                <w:bCs/>
                <w:i w:val="0"/>
                <w:iCs w:val="0"/>
                <w:color w:val="000000"/>
                <w:sz w:val="24"/>
                <w:szCs w:val="24"/>
                <w:u w:val="none"/>
              </w:rPr>
            </w:r>
            <w:r/>
          </w:p>
        </w:tc>
        <w:tc>
          <w:tcPr>
            <w:tcW w:w="1174"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rPr>
                <w:rFonts w:hint="eastAsia" w:ascii="宋体" w:hAnsi="宋体" w:eastAsia="宋体" w:cs="宋体"/>
                <w:b/>
                <w:bCs/>
                <w:i w:val="0"/>
                <w:iCs w:val="0"/>
                <w:color w:val="000000"/>
                <w:sz w:val="24"/>
                <w:szCs w:val="24"/>
                <w:u w:val="none"/>
              </w:rPr>
            </w:r>
            <w:r/>
          </w:p>
        </w:tc>
        <w:tc>
          <w:tcPr>
            <w:tcW w:w="384"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分数</w:t>
            </w:r>
            <w:r>
              <w:rPr>
                <w:rFonts w:hint="eastAsia" w:ascii="宋体" w:hAnsi="宋体" w:eastAsia="宋体" w:cs="宋体"/>
                <w:b/>
                <w:bCs/>
                <w:i w:val="0"/>
                <w:iCs w:val="0"/>
                <w:color w:val="000000"/>
                <w:sz w:val="24"/>
                <w:szCs w:val="24"/>
                <w:u w:val="none"/>
              </w:rPr>
            </w:r>
            <w:r/>
          </w:p>
        </w:tc>
        <w:tc>
          <w:tcPr>
            <w:tcW w:w="369"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rPr>
                <w:rFonts w:hint="eastAsia" w:ascii="宋体" w:hAnsi="宋体" w:eastAsia="宋体" w:cs="宋体"/>
                <w:b/>
                <w:bCs/>
                <w:i w:val="0"/>
                <w:iCs w:val="0"/>
                <w:color w:val="000000"/>
                <w:sz w:val="24"/>
                <w:szCs w:val="24"/>
                <w:u w:val="none"/>
              </w:rPr>
            </w:r>
            <w:r/>
          </w:p>
        </w:tc>
      </w:tr>
      <w:tr>
        <w:trPr>
          <w:trHeight w:val="1302"/>
        </w:trPr>
        <w:tc>
          <w:tcPr>
            <w:tcW w:w="466" w:type="dxa"/>
            <w:vAlign w:val="center"/>
            <w:vMerge w:val="restart"/>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数据服务考核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数据完整性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核查数据梳理是否覆盖医院门诊、住院、检查、检验等全业务场景数据，包括患者病案首页、检验检查数据等。</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若存在数据遗漏，每类关键数据缺失扣4分，扣完为止。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数据准确性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通过抽样对比原始数据与梳理后的数据，检查数据转换、清洗过程中的准确性。</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因产品原因，数据错误率超过10%，每增加1%扣1分；关键数据错误，每项扣2-3分，扣完为止，非服务商原因不扣分。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数据规范性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考核数据是否按照统一的标准和格式进行梳理，包括数据编码、字段命名、单位规范等。</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发现数据格式不统一、编码混乱等问题，每次扣1-3分，扣完为止。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tcW w:w="466" w:type="dxa"/>
            <w:vAlign w:val="center"/>
            <w:vMerge w:val="restart"/>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服务支撑考核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沟通协作效率</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考核服务需求变更响应速度，会议/进度汇报的及时性以及问题解决时效。</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按响应延迟次数累计扣分，每次扣1分，扣完为止。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培训服务质量</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考核是否提供全面的操作培训，如面向业务人员的指标管理培训、技术人员的系统维护培训。</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培训人员覆盖率低于80%扣2分，提供培训内容不完整扣1分。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售后服务质量</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考核质保期内的故障处理响应时间、定期巡检频率。</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未及时处理故障，扣2分；未提供每月一次定期巡检扣2分。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服务实施</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服务实施需要具有详细的实施方案、进度计划和人员安排。</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实施方案缺失或服务进度计划缺失或无服务人员计划则不合格扣2分，本条目扣完为止。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文档完整性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巡检月报等要求按时提交，且质量满意。</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出现一次不及时扣1分，质量不满足要求扣2分，本条目扣完为止。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restart"/>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专家咨询服务考核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专业能力</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评估专家在医院管理、医疗质量控制、数据分析等领域的专业知识和经验，通过专家提供的咨询报告、解决方案的专业性、可行性进行打分。</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报告缺乏专业深度、解决方案不可行，每次扣1-3分，扣完为止。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响应及时性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记录专家对医院咨询问题的响应时间，要求24小时内给出初步回应。</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未按时响应，每次扣1分；延迟超过48小时，每次扣2分，扣完为止。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restart"/>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用户满意度考核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业务部门满意度</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通过问卷调查或访谈，评估业务部门对平台易用性、指标准确性、数据支撑效率的满意度。</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满意度低于70%扣5分，70%-85%扣3分，85%以上不扣分。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技术部门满意度</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评估技术团队对平台可维护性、兼容性、扩展能力的认可程度。</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技术反馈问题解决率低于80%扣5分，80%-95%扣3分，95%以上不扣分。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466" w:type="dxa"/>
            <w:vAlign w:val="center"/>
            <w:vMerge w:val="restart"/>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技术安全与稳定性考核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系统安全保障</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检查指标建设涉及系统的数据安全防护措施，如数据加密、访问控制、备份恢复机制等是否符合医疗行业安全规范。</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对存在安全漏洞或未通过安全检测的情况进行扣分，出现严重安全问题扣5分，较为严重扣3分，问题较轻扣1分。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系统稳定性与性能</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监测系统运行期间的稳定性，统计系统故障次数、故障恢复时间，以及关键操作（如指标查询、分析）的响应速度。</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存在系统出现长时间故障或性能不达标，按影响程度扣分，影响严重扣5分，较为严重扣3分，影响较轻扣1分。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restart"/>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合规与政策适配考核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行业合规性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核查指标建设是否符合医疗卫生行业相关政策法规、标准规范，确保指标体系设计、数据采集与使用合法合规。</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出现违规情况，按严重程度扣分，影响严重扣5分，较为严重扣3分，影响较轻扣1分。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政策动态适配</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评估服务团队是否及时关注并响应医疗行业政策变化，对指标体系进行相应调整优化。</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651"/>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若因政策变化未及时调整导致指标失效或不合规，进行扣分，每次扣1分，扣完为止。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2"/>
        </w:trPr>
        <w:tc>
          <w:tcPr>
            <w:gridSpan w:val="5"/>
            <w:tcW w:w="8453"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651"/>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651"/>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651"/>
        <w:ind w:right="0"/>
        <w:jc w:val="both"/>
        <w:keepLines w:val="0"/>
        <w:keepNext w:val="0"/>
        <w:pageBreakBefore w:val="0"/>
        <w:spacing w:line="400" w:lineRule="exact"/>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651"/>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51"/>
        <w:jc w:val="center"/>
        <w:keepLines w:val="0"/>
        <w:keepNext w:val="0"/>
        <w:pageBreakBefore w:val="0"/>
        <w:spacing w:line="400" w:lineRule="exact"/>
        <w:widowControl w:val="off"/>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第七章   投标文件格式</w:t>
      </w:r>
      <w:bookmarkEnd w:id="816"/>
      <w:r>
        <w:rPr>
          <w:rFonts w:ascii="Times New Roman" w:hAnsi="Times New Roman" w:eastAsia="宋体" w:cs="Times New Roman"/>
          <w:b/>
          <w:sz w:val="36"/>
          <w:szCs w:val="36"/>
        </w:rPr>
      </w:r>
      <w:r/>
    </w:p>
    <w:p>
      <w:pPr>
        <w:pStyle w:val="651"/>
        <w:spacing w:line="360" w:lineRule="auto"/>
        <w:tabs>
          <w:tab w:val="left" w:pos="900" w:leader="none"/>
          <w:tab w:val="left" w:pos="1980" w:leader="none"/>
        </w:tabs>
        <w:rPr>
          <w:b/>
          <w:sz w:val="24"/>
        </w:rPr>
      </w:pPr>
      <w:r>
        <w:rPr>
          <w:b/>
          <w:sz w:val="24"/>
        </w:rPr>
      </w:r>
      <w:r/>
    </w:p>
    <w:p>
      <w:pPr>
        <w:pStyle w:val="651"/>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651"/>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651"/>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51"/>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65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651"/>
        <w:jc w:val="left"/>
        <w:widowControl/>
        <w:rPr>
          <w:sz w:val="24"/>
        </w:rPr>
      </w:pPr>
      <w:r>
        <w:rPr>
          <w:sz w:val="24"/>
        </w:rPr>
        <w:br w:type="page" w:clear="all"/>
      </w:r>
      <w:r>
        <w:rPr>
          <w:sz w:val="24"/>
        </w:rPr>
      </w:r>
      <w:r/>
    </w:p>
    <w:p>
      <w:pPr>
        <w:pStyle w:val="651"/>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651"/>
        <w:rPr>
          <w:b/>
          <w:spacing w:val="20"/>
          <w:szCs w:val="21"/>
        </w:rPr>
      </w:pPr>
      <w:r>
        <w:rPr>
          <w:b/>
          <w:spacing w:val="20"/>
          <w:szCs w:val="21"/>
        </w:rPr>
      </w:r>
      <w:r/>
    </w:p>
    <w:p>
      <w:pPr>
        <w:pStyle w:val="651"/>
        <w:rPr>
          <w:b/>
          <w:sz w:val="24"/>
        </w:rPr>
      </w:pPr>
      <w:r>
        <w:rPr>
          <w:b/>
          <w:spacing w:val="20"/>
          <w:sz w:val="24"/>
        </w:rPr>
        <w:t xml:space="preserve">投标文件</w:t>
      </w:r>
      <w:r>
        <w:rPr>
          <w:b/>
          <w:sz w:val="24"/>
        </w:rPr>
        <w:t xml:space="preserve">封面（非实质性格式）</w:t>
      </w:r>
      <w:r>
        <w:rPr>
          <w:b/>
          <w:sz w:val="24"/>
        </w:rPr>
      </w:r>
      <w:r/>
    </w:p>
    <w:p>
      <w:pPr>
        <w:pStyle w:val="651"/>
        <w:jc w:val="center"/>
        <w:rPr>
          <w:szCs w:val="21"/>
        </w:rPr>
      </w:pPr>
      <w:r>
        <w:rPr>
          <w:szCs w:val="21"/>
        </w:rPr>
      </w:r>
      <w:r/>
    </w:p>
    <w:p>
      <w:pPr>
        <w:pStyle w:val="651"/>
        <w:jc w:val="center"/>
        <w:rPr>
          <w:b/>
          <w:spacing w:val="60"/>
          <w:sz w:val="84"/>
          <w:szCs w:val="84"/>
        </w:rPr>
      </w:pPr>
      <w:r>
        <w:rPr>
          <w:b/>
          <w:spacing w:val="60"/>
          <w:sz w:val="84"/>
          <w:szCs w:val="84"/>
        </w:rPr>
        <w:t xml:space="preserve">投 标 文 件</w:t>
      </w:r>
      <w:r>
        <w:rPr>
          <w:b/>
          <w:spacing w:val="60"/>
          <w:sz w:val="84"/>
          <w:szCs w:val="84"/>
        </w:rPr>
      </w:r>
      <w:r/>
    </w:p>
    <w:p>
      <w:pPr>
        <w:pStyle w:val="651"/>
        <w:ind w:firstLine="963"/>
        <w:rPr>
          <w:rFonts w:hint="eastAsia"/>
          <w:b/>
          <w:spacing w:val="60"/>
          <w:sz w:val="52"/>
          <w:szCs w:val="52"/>
        </w:rPr>
      </w:pPr>
      <w:r>
        <w:rPr>
          <w:rFonts w:hint="eastAsia"/>
          <w:b/>
          <w:spacing w:val="60"/>
          <w:sz w:val="52"/>
          <w:szCs w:val="52"/>
        </w:rPr>
      </w:r>
      <w:r/>
    </w:p>
    <w:p>
      <w:pPr>
        <w:pStyle w:val="651"/>
        <w:ind w:firstLine="963"/>
        <w:rPr>
          <w:rFonts w:hint="eastAsia"/>
          <w:b/>
          <w:spacing w:val="60"/>
          <w:sz w:val="52"/>
          <w:szCs w:val="52"/>
        </w:rPr>
      </w:pPr>
      <w:r>
        <w:rPr>
          <w:rFonts w:hint="eastAsia"/>
          <w:b/>
          <w:spacing w:val="60"/>
          <w:sz w:val="52"/>
          <w:szCs w:val="52"/>
        </w:rPr>
      </w:r>
      <w:r/>
    </w:p>
    <w:p>
      <w:pPr>
        <w:pStyle w:val="651"/>
        <w:ind w:firstLine="542"/>
        <w:rPr>
          <w:b/>
          <w:spacing w:val="20"/>
          <w:sz w:val="32"/>
          <w:szCs w:val="32"/>
        </w:rPr>
      </w:pPr>
      <w:r>
        <w:rPr>
          <w:b/>
          <w:spacing w:val="20"/>
          <w:sz w:val="32"/>
          <w:szCs w:val="32"/>
        </w:rPr>
      </w:r>
      <w:r/>
    </w:p>
    <w:p>
      <w:pPr>
        <w:pStyle w:val="651"/>
        <w:ind w:firstLine="542"/>
        <w:rPr>
          <w:b/>
          <w:spacing w:val="20"/>
          <w:sz w:val="32"/>
          <w:szCs w:val="32"/>
        </w:rPr>
      </w:pPr>
      <w:r>
        <w:rPr>
          <w:b/>
          <w:spacing w:val="20"/>
          <w:sz w:val="32"/>
          <w:szCs w:val="32"/>
        </w:rPr>
      </w:r>
      <w:r/>
    </w:p>
    <w:p>
      <w:pPr>
        <w:pStyle w:val="65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5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651"/>
        <w:jc w:val="center"/>
        <w:rPr>
          <w:b/>
          <w:sz w:val="32"/>
          <w:szCs w:val="32"/>
        </w:rPr>
      </w:pPr>
      <w:r>
        <w:rPr>
          <w:b/>
          <w:sz w:val="32"/>
          <w:szCs w:val="32"/>
        </w:rPr>
      </w:r>
      <w:r/>
    </w:p>
    <w:p>
      <w:pPr>
        <w:pStyle w:val="651"/>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651"/>
        <w:rPr>
          <w:b/>
        </w:rPr>
      </w:pPr>
      <w:r>
        <w:rPr>
          <w:b/>
        </w:rPr>
      </w:r>
      <w:r/>
    </w:p>
    <w:p>
      <w:pPr>
        <w:pStyle w:val="651"/>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651"/>
        <w:keepLines w:val="0"/>
        <w:keepNext w:val="0"/>
        <w:pageBreakBefore w:val="0"/>
        <w:spacing w:line="360" w:lineRule="auto"/>
        <w:widowControl w:val="off"/>
        <w:rPr>
          <w:rFonts w:hint="eastAsia" w:ascii="宋体" w:hAnsi="宋体" w:cs="宋体"/>
          <w:b/>
          <w:sz w:val="28"/>
          <w:szCs w:val="28"/>
        </w:rPr>
        <w:outlineLvl w:val="3"/>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651"/>
        <w:jc w:val="center"/>
        <w:pageBreakBefore w:val="0"/>
        <w:spacing w:before="120" w:line="360" w:lineRule="auto"/>
        <w:widowControl/>
        <w:outlineLvl w:val="9"/>
      </w:pPr>
      <w:r>
        <w:rPr>
          <w:rFonts w:hint="eastAsia" w:ascii="宋体" w:hAnsi="宋体" w:cs="宋体"/>
          <w:b/>
          <w:sz w:val="28"/>
          <w:szCs w:val="28"/>
        </w:rPr>
        <w:t xml:space="preserve">投标人资格声明函</w:t>
      </w:r>
      <w:r/>
    </w:p>
    <w:p>
      <w:pPr>
        <w:pStyle w:val="673"/>
        <w:ind w:firstLine="480"/>
        <w:pageBreakBefore w:val="0"/>
        <w:spacing w:line="460" w:lineRule="exact"/>
        <w:outlineLvl w:val="9"/>
      </w:pPr>
      <w:r>
        <w:rPr>
          <w:rFonts w:hint="eastAsia"/>
        </w:rPr>
        <w:t xml:space="preserve">致：</w:t>
      </w:r>
      <w:r>
        <w:rPr>
          <w:rFonts w:hint="eastAsia"/>
          <w:u w:val="single"/>
        </w:rPr>
        <w:t xml:space="preserve">（采购人名称）</w:t>
      </w:r>
      <w:r/>
    </w:p>
    <w:p>
      <w:pPr>
        <w:pStyle w:val="673"/>
        <w:ind w:firstLine="480"/>
        <w:pageBreakBefore w:val="0"/>
        <w:spacing w:line="460" w:lineRule="exact"/>
        <w:outlineLvl w:val="9"/>
      </w:pPr>
      <w:r>
        <w:rPr>
          <w:rFonts w:hint="eastAsia"/>
        </w:rPr>
        <w:t xml:space="preserve">按照《中华人民共和国政府采购法》第二十二条和招标文件的规定，我单位郑重声明如下：</w:t>
      </w:r>
      <w:r/>
    </w:p>
    <w:p>
      <w:pPr>
        <w:pStyle w:val="673"/>
        <w:ind w:firstLine="480"/>
        <w:pageBreakBefore w:val="0"/>
        <w:spacing w:line="460" w:lineRule="exact"/>
        <w:outlineLvl w:val="9"/>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673"/>
        <w:ind w:firstLine="480"/>
        <w:pageBreakBefore w:val="0"/>
        <w:spacing w:line="460" w:lineRule="exact"/>
        <w:outlineLvl w:val="9"/>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673"/>
        <w:ind w:firstLine="480"/>
        <w:pageBreakBefore w:val="0"/>
        <w:spacing w:line="460" w:lineRule="exact"/>
        <w:outlineLvl w:val="9"/>
      </w:pPr>
      <w:r>
        <w:rPr>
          <w:rFonts w:hint="eastAsia"/>
        </w:rPr>
        <w:t xml:space="preserve">三、我单位依法进行纳税和社会保险申报并实际履行了义务。</w:t>
      </w:r>
      <w:r/>
    </w:p>
    <w:p>
      <w:pPr>
        <w:pStyle w:val="673"/>
        <w:ind w:firstLine="480"/>
        <w:pageBreakBefore w:val="0"/>
        <w:spacing w:line="460" w:lineRule="exact"/>
        <w:outlineLvl w:val="9"/>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673"/>
        <w:ind w:firstLine="480"/>
        <w:pageBreakBefore w:val="0"/>
        <w:spacing w:line="460" w:lineRule="exact"/>
        <w:outlineLvl w:val="9"/>
      </w:pPr>
      <w:r>
        <w:rPr>
          <w:rFonts w:hint="eastAsia"/>
        </w:rPr>
        <w:t xml:space="preserve">主要设备有：</w:t>
      </w:r>
      <w:r>
        <w:rPr>
          <w:u w:val="single"/>
        </w:rPr>
        <w:t xml:space="preserve">            </w:t>
      </w:r>
      <w:r/>
    </w:p>
    <w:p>
      <w:pPr>
        <w:pStyle w:val="673"/>
        <w:ind w:firstLine="480"/>
        <w:pageBreakBefore w:val="0"/>
        <w:spacing w:line="460" w:lineRule="exact"/>
        <w:outlineLvl w:val="9"/>
      </w:pPr>
      <w:r>
        <w:rPr>
          <w:rFonts w:hint="eastAsia"/>
        </w:rPr>
        <w:t xml:space="preserve">主要专业技术能力有</w:t>
      </w:r>
      <w:r>
        <w:rPr>
          <w:rFonts w:hint="eastAsia"/>
          <w:u w:val="single"/>
        </w:rPr>
        <w:t xml:space="preserve">                 </w:t>
      </w:r>
      <w:r/>
    </w:p>
    <w:p>
      <w:pPr>
        <w:pStyle w:val="673"/>
        <w:ind w:firstLine="480"/>
        <w:pageBreakBefore w:val="0"/>
        <w:spacing w:line="460" w:lineRule="exact"/>
        <w:outlineLvl w:val="9"/>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673"/>
        <w:ind w:firstLine="480"/>
        <w:pageBreakBefore w:val="0"/>
        <w:spacing w:line="460" w:lineRule="exact"/>
        <w:outlineLvl w:val="9"/>
      </w:pPr>
      <w:r>
        <w:rPr>
          <w:rFonts w:hint="eastAsia"/>
        </w:rPr>
        <w:t xml:space="preserve">六、我单位具备法律、行政法规规定的其他条件。</w:t>
      </w:r>
      <w:r/>
    </w:p>
    <w:p>
      <w:pPr>
        <w:pStyle w:val="673"/>
        <w:ind w:firstLine="480"/>
        <w:pageBreakBefore w:val="0"/>
        <w:spacing w:line="460" w:lineRule="exact"/>
        <w:outlineLvl w:val="9"/>
      </w:pPr>
      <w:r>
        <w:rPr>
          <w:rFonts w:hint="eastAsia"/>
        </w:rPr>
        <w:t xml:space="preserve">七、与我单位存在“单位负责人为同一人或者存在直接控股、管理关系”的其他单位信息如下（如无此情形的，</w:t>
      </w:r>
      <w:r>
        <w:rPr>
          <w:rFonts w:hint="eastAsia"/>
          <w:b/>
          <w:bCs/>
        </w:rPr>
        <w:t xml:space="preserve">填写“无”</w:t>
      </w:r>
      <w:r>
        <w:rPr>
          <w:rFonts w:hint="eastAsia"/>
        </w:rPr>
        <w:t xml:space="preserve">）：</w:t>
      </w:r>
      <w:r/>
    </w:p>
    <w:p>
      <w:pPr>
        <w:pStyle w:val="673"/>
        <w:ind w:firstLine="480"/>
        <w:pageBreakBefore w:val="0"/>
        <w:spacing w:line="460" w:lineRule="exact"/>
        <w:outlineLvl w:val="9"/>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673"/>
        <w:ind w:firstLine="480"/>
        <w:pageBreakBefore w:val="0"/>
        <w:spacing w:line="460" w:lineRule="exact"/>
        <w:outlineLvl w:val="9"/>
      </w:pPr>
      <w:r>
        <w:rPr>
          <w:rFonts w:hint="eastAsia"/>
        </w:rPr>
        <w:t xml:space="preserve">2、我单位直接控股的其他单位如下：</w:t>
      </w:r>
      <w:r>
        <w:rPr>
          <w:rFonts w:hint="eastAsia"/>
          <w:u w:val="single"/>
        </w:rPr>
        <w:t xml:space="preserve">                    </w:t>
      </w:r>
      <w:r>
        <w:rPr>
          <w:rFonts w:hint="eastAsia"/>
        </w:rPr>
        <w:t xml:space="preserve"> </w:t>
      </w:r>
      <w:r/>
    </w:p>
    <w:p>
      <w:pPr>
        <w:pStyle w:val="673"/>
        <w:ind w:firstLine="480"/>
        <w:pageBreakBefore w:val="0"/>
        <w:spacing w:line="460" w:lineRule="exact"/>
        <w:outlineLvl w:val="9"/>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673"/>
        <w:ind w:firstLine="480"/>
        <w:pageBreakBefore w:val="0"/>
        <w:spacing w:line="460" w:lineRule="exact"/>
        <w:outlineLvl w:val="9"/>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673"/>
        <w:ind w:firstLine="480"/>
        <w:pageBreakBefore w:val="0"/>
        <w:spacing w:line="460" w:lineRule="exact"/>
        <w:outlineLvl w:val="9"/>
      </w:pPr>
      <w:r>
        <w:rPr>
          <w:rFonts w:hint="eastAsia"/>
        </w:rPr>
        <w:t xml:space="preserve">九、</w:t>
      </w:r>
      <w:r>
        <w:t xml:space="preserve">我单位无以下不良信用记录情形：</w:t>
      </w:r>
      <w:r/>
    </w:p>
    <w:p>
      <w:pPr>
        <w:pStyle w:val="673"/>
        <w:ind w:firstLine="480"/>
        <w:pageBreakBefore w:val="0"/>
        <w:spacing w:line="460" w:lineRule="exact"/>
        <w:outlineLvl w:val="9"/>
      </w:pPr>
      <w:r>
        <w:t xml:space="preserve">1</w:t>
      </w:r>
      <w:r>
        <w:rPr>
          <w:rFonts w:hint="eastAsia"/>
        </w:rPr>
        <w:t xml:space="preserve">、在“信用中国”网站被列入失信被执行人和重大税收违法案件当事人名单；</w:t>
      </w:r>
      <w:r/>
    </w:p>
    <w:p>
      <w:pPr>
        <w:pStyle w:val="673"/>
        <w:ind w:firstLine="480"/>
        <w:pageBreakBefore w:val="0"/>
        <w:spacing w:line="460" w:lineRule="exact"/>
        <w:outlineLvl w:val="9"/>
      </w:pPr>
      <w:r>
        <w:t xml:space="preserve">2</w:t>
      </w:r>
      <w:r>
        <w:rPr>
          <w:rFonts w:hint="eastAsia"/>
        </w:rPr>
        <w:t xml:space="preserve">、在“中国政府采购网”网站被列入政府采购严重违法失信行为记录名单；</w:t>
      </w:r>
      <w:r/>
    </w:p>
    <w:p>
      <w:pPr>
        <w:pStyle w:val="673"/>
        <w:ind w:firstLine="480"/>
        <w:pageBreakBefore w:val="0"/>
        <w:spacing w:line="460" w:lineRule="exact"/>
        <w:outlineLvl w:val="9"/>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673"/>
        <w:ind w:firstLine="480"/>
        <w:pageBreakBefore w:val="0"/>
        <w:spacing w:line="460" w:lineRule="exact"/>
        <w:outlineLvl w:val="9"/>
      </w:pPr>
      <w:r/>
      <w:r/>
    </w:p>
    <w:p>
      <w:pPr>
        <w:pStyle w:val="673"/>
        <w:ind w:firstLine="480"/>
        <w:pageBreakBefore w:val="0"/>
        <w:spacing w:line="460" w:lineRule="exact"/>
        <w:outlineLvl w:val="9"/>
      </w:pPr>
      <w:r>
        <w:rPr>
          <w:rFonts w:hint="eastAsia"/>
        </w:rPr>
        <w:t xml:space="preserve">我单位保证上述声明的事项都是真实的，如有虚假，我单位愿意承担相应的法律责任，并承担因此所造成的一切损失。</w:t>
      </w:r>
      <w:r/>
    </w:p>
    <w:p>
      <w:pPr>
        <w:pStyle w:val="673"/>
        <w:ind w:firstLine="480"/>
        <w:pageBreakBefore w:val="0"/>
        <w:spacing w:line="460" w:lineRule="exact"/>
        <w:outlineLvl w:val="9"/>
      </w:pPr>
      <w:r/>
      <w:r/>
    </w:p>
    <w:p>
      <w:pPr>
        <w:pStyle w:val="673"/>
        <w:ind w:firstLine="480"/>
        <w:pageBreakBefore w:val="0"/>
        <w:spacing w:line="460" w:lineRule="exact"/>
        <w:rPr>
          <w:rFonts w:hint="eastAsia"/>
        </w:rPr>
        <w:outlineLvl w:val="9"/>
      </w:pPr>
      <w:r>
        <w:rPr>
          <w:rFonts w:hint="eastAsia"/>
        </w:rPr>
        <w:t xml:space="preserve">                                            投标人：（加盖公章）</w:t>
      </w:r>
      <w:r>
        <w:rPr>
          <w:rFonts w:hint="eastAsia"/>
        </w:rPr>
      </w:r>
      <w:r/>
    </w:p>
    <w:p>
      <w:pPr>
        <w:pStyle w:val="673"/>
        <w:ind w:firstLine="4862"/>
        <w:pageBreakBefore w:val="0"/>
        <w:spacing w:line="460" w:lineRule="exact"/>
        <w:outlineLvl w:val="9"/>
      </w:pPr>
      <w:r>
        <w:rPr>
          <w:rFonts w:hint="eastAsia"/>
        </w:rPr>
        <w:t xml:space="preserve">法定代表人（或单位负责人）签字或盖章：</w:t>
      </w:r>
      <w:r/>
    </w:p>
    <w:p>
      <w:pPr>
        <w:pStyle w:val="673"/>
        <w:ind w:firstLine="4920"/>
        <w:pageBreakBefore w:val="0"/>
        <w:spacing w:line="460" w:lineRule="exact"/>
        <w:rPr>
          <w:rFonts w:hint="eastAsia"/>
        </w:rPr>
        <w:outlineLvl w:val="9"/>
      </w:pPr>
      <w:r>
        <w:rPr>
          <w:rFonts w:hint="eastAsia"/>
        </w:rPr>
        <w:t xml:space="preserve">日期：    年    月    日</w:t>
      </w:r>
      <w:r>
        <w:rPr>
          <w:rFonts w:hint="eastAsia"/>
        </w:rPr>
      </w:r>
      <w:r/>
    </w:p>
    <w:p>
      <w:pPr>
        <w:pStyle w:val="651"/>
        <w:pageBreakBefore w:val="0"/>
        <w:spacing w:line="360" w:lineRule="auto"/>
        <w:rPr>
          <w:rFonts w:hint="eastAsia"/>
          <w:sz w:val="24"/>
        </w:rPr>
        <w:outlineLvl w:val="9"/>
      </w:pPr>
      <w:r>
        <w:rPr>
          <w:rFonts w:hint="eastAsia"/>
          <w:sz w:val="24"/>
        </w:rPr>
      </w:r>
      <w:r/>
    </w:p>
    <w:p>
      <w:pPr>
        <w:pStyle w:val="651"/>
        <w:pageBreakBefore w:val="0"/>
        <w:spacing w:line="360" w:lineRule="auto"/>
        <w:rPr>
          <w:rFonts w:hint="eastAsia"/>
          <w:b w:val="0"/>
          <w:bCs/>
          <w:u w:val="none"/>
          <w:lang w:val="en-US" w:eastAsia="zh-CN"/>
        </w:rPr>
        <w:outlineLvl w:val="9"/>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rFonts w:hint="eastAsia"/>
          <w:b w:val="0"/>
          <w:bCs/>
          <w:u w:val="none"/>
          <w:lang w:val="en-US" w:eastAsia="zh-CN"/>
        </w:rPr>
      </w:r>
      <w:r/>
    </w:p>
    <w:p>
      <w:pPr>
        <w:pStyle w:val="651"/>
        <w:pageBreakBefore w:val="0"/>
        <w:rPr>
          <w:rFonts w:hint="eastAsia"/>
          <w:b/>
          <w:bCs w:val="0"/>
          <w:u w:val="none"/>
          <w:lang w:val="en-US" w:eastAsia="zh-CN"/>
        </w:rPr>
        <w:outlineLvl w:val="9"/>
      </w:pPr>
      <w:r>
        <w:rPr>
          <w:rFonts w:hint="eastAsia"/>
          <w:b/>
          <w:bCs w:val="0"/>
          <w:u w:val="none"/>
          <w:lang w:val="en-US" w:eastAsia="zh-CN"/>
        </w:rPr>
      </w:r>
      <w:r/>
    </w:p>
    <w:p>
      <w:pPr>
        <w:pStyle w:val="651"/>
        <w:pageBreakBefore w:val="0"/>
        <w:rPr>
          <w:b w:val="0"/>
          <w:bCs/>
          <w:u w:val="none"/>
          <w:vertAlign w:val="baseline"/>
        </w:rPr>
        <w:outlineLvl w:val="9"/>
      </w:pPr>
      <w:r>
        <w:rPr>
          <w:rFonts w:hint="eastAsia"/>
          <w:b/>
          <w:bCs w:val="0"/>
          <w:u w:val="none"/>
          <w:lang w:val="en-US" w:eastAsia="zh-CN"/>
        </w:rPr>
        <w:t xml:space="preserve">营业执照（扫描件或图片）（可另起一页放置）</w:t>
      </w:r>
      <w:r>
        <w:rPr>
          <w:b w:val="0"/>
          <w:bCs/>
          <w:u w:val="none"/>
          <w:vertAlign w:val="baseline"/>
        </w:rPr>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5261"/>
        </w:trPr>
        <w:tc>
          <w:tcPr>
            <w:tcW w:w="9963" w:type="dxa"/>
            <w:vAlign w:val="top"/>
            <w:textDirection w:val="lrTb"/>
            <w:noWrap w:val="false"/>
          </w:tcPr>
          <w:p>
            <w:pPr>
              <w:pStyle w:val="651"/>
              <w:pageBreakBefore w:val="0"/>
              <w:rPr>
                <w:vertAlign w:val="baseline"/>
              </w:rPr>
              <w:outlineLvl w:val="9"/>
            </w:pPr>
            <w:r>
              <w:rPr>
                <w:vertAlign w:val="baseline"/>
              </w:rPr>
            </w:r>
            <w:r/>
          </w:p>
        </w:tc>
      </w:tr>
    </w:tbl>
    <w:p>
      <w:pPr>
        <w:pStyle w:val="654"/>
        <w:sectPr>
          <w:footnotePr/>
          <w:endnotePr/>
          <w:type w:val="nextPage"/>
          <w:pgSz w:w="11907" w:h="16840" w:orient="portrait"/>
          <w:pgMar w:top="1440" w:right="1080" w:bottom="1440" w:left="1080" w:header="851" w:footer="851" w:gutter="0"/>
          <w:cols w:num="1" w:sep="0" w:space="1701" w:equalWidth="1"/>
          <w:docGrid w:linePitch="360"/>
        </w:sectPr>
      </w:pPr>
      <w:r/>
      <w:r/>
    </w:p>
    <w:p>
      <w:pPr>
        <w:pStyle w:val="651"/>
        <w:keepLines w:val="0"/>
        <w:keepNext w:val="0"/>
        <w:pageBreakBefore w:val="0"/>
        <w:spacing w:line="360" w:lineRule="auto"/>
        <w:widowControl w:val="off"/>
        <w:tabs>
          <w:tab w:val="left" w:pos="8280" w:leader="none"/>
        </w:tabs>
        <w:rPr>
          <w:color w:val="000000"/>
          <w:sz w:val="24"/>
          <w:szCs w:val="20"/>
        </w:rPr>
        <w:outlineLvl w:val="3"/>
      </w:pPr>
      <w:r>
        <w:rPr>
          <w:color w:val="000000"/>
          <w:sz w:val="24"/>
          <w:szCs w:val="20"/>
        </w:rPr>
        <w:t xml:space="preserve">2 落实政府采购政策需满足的资格要求（如有）</w:t>
      </w:r>
      <w:r>
        <w:rPr>
          <w:color w:val="000000"/>
          <w:sz w:val="24"/>
          <w:szCs w:val="20"/>
        </w:rPr>
      </w:r>
      <w:r/>
    </w:p>
    <w:p>
      <w:pPr>
        <w:pStyle w:val="651"/>
        <w:spacing w:line="360" w:lineRule="auto"/>
        <w:tabs>
          <w:tab w:val="left" w:pos="8280" w:leader="none"/>
        </w:tabs>
        <w:rPr>
          <w:rFonts w:hint="eastAsia" w:ascii="Times New Roman" w:hAnsi="Times New Roman" w:eastAsia="宋体" w:cs="Times New Roman"/>
          <w:color w:val="000000"/>
          <w:sz w:val="24"/>
          <w:szCs w:val="20"/>
          <w:lang w:eastAsia="zh-CN"/>
        </w:rPr>
      </w:pPr>
      <w:r>
        <w:rPr>
          <w:rFonts w:hint="eastAsia"/>
          <w:color w:val="000000"/>
          <w:sz w:val="24"/>
          <w:szCs w:val="20"/>
          <w:lang w:val="en-US" w:eastAsia="zh-CN"/>
        </w:rPr>
        <w:t xml:space="preserve">2-1</w:t>
      </w:r>
      <w:r>
        <w:rPr>
          <w:rFonts w:ascii="Times New Roman" w:hAnsi="Times New Roman" w:eastAsia="宋体" w:cs="Times New Roman"/>
          <w:color w:val="000000"/>
          <w:sz w:val="24"/>
          <w:szCs w:val="20"/>
        </w:rPr>
        <w:t xml:space="preserve">中小企业声明函</w:t>
      </w: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eastAsia="zh-CN"/>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651"/>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651"/>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651"/>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65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65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651"/>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651"/>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651"/>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65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65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5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65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65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65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651"/>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651"/>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65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5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51"/>
        <w:jc w:val="center"/>
        <w:keepLines w:val="0"/>
        <w:keepNext w:val="0"/>
        <w:pageBreakBefore w:val="0"/>
        <w:spacing w:line="360" w:lineRule="auto"/>
        <w:widowControl w:val="off"/>
        <w:rPr>
          <w:rFonts w:ascii="Times New Roman" w:hAnsi="Times New Roman" w:eastAsia="宋体" w:cs="Times New Roman"/>
          <w:b/>
          <w:color w:val="000000"/>
          <w:sz w:val="36"/>
          <w:szCs w:val="36"/>
        </w:rPr>
        <w:outlineLvl w:val="9"/>
      </w:pPr>
      <w:r>
        <w:rPr>
          <w:rFonts w:ascii="Times New Roman" w:hAnsi="Times New Roman" w:eastAsia="宋体" w:cs="Times New Roman"/>
          <w:color w:val="000000"/>
          <w:sz w:val="24"/>
          <w:szCs w:val="20"/>
        </w:rPr>
        <w:br w:type="page" w:clear="all"/>
      </w: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r>
      <w:r/>
    </w:p>
    <w:p>
      <w:pPr>
        <w:pStyle w:val="65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51"/>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651"/>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651"/>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65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5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51"/>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651"/>
        <w:spacing w:line="360" w:lineRule="auto"/>
        <w:rPr>
          <w:rFonts w:hint="eastAsia" w:eastAsia="宋体"/>
          <w:b/>
          <w:sz w:val="36"/>
          <w:szCs w:val="36"/>
          <w:lang w:eastAsia="zh-CN"/>
        </w:rPr>
        <w:outlineLvl w:val="3"/>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eastAsia="宋体"/>
          <w:b/>
          <w:sz w:val="36"/>
          <w:szCs w:val="36"/>
          <w:lang w:eastAsia="zh-CN"/>
        </w:rPr>
      </w:r>
      <w:r/>
    </w:p>
    <w:p>
      <w:pPr>
        <w:pStyle w:val="651"/>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651"/>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651"/>
        <w:spacing w:line="360" w:lineRule="auto"/>
        <w:tabs>
          <w:tab w:val="left" w:pos="8280" w:leader="none"/>
        </w:tabs>
        <w:rPr>
          <w:color w:val="000000"/>
          <w:sz w:val="24"/>
          <w:szCs w:val="20"/>
        </w:rPr>
        <w:outlineLvl w:val="3"/>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651"/>
        <w:spacing w:line="360" w:lineRule="auto"/>
        <w:tabs>
          <w:tab w:val="left" w:pos="8280" w:leader="none"/>
        </w:tabs>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sz w:val="24"/>
          <w:szCs w:val="20"/>
          <w:lang w:eastAsia="zh-CN"/>
        </w:rPr>
        <w:t xml:space="preserve">（</w:t>
      </w:r>
      <w:r>
        <w:rPr>
          <w:rFonts w:hint="eastAsia"/>
          <w:b/>
          <w:bCs/>
          <w:sz w:val="24"/>
          <w:szCs w:val="20"/>
          <w:lang w:val="en-US" w:eastAsia="zh-CN"/>
        </w:rPr>
        <w:t xml:space="preserve">详见公告</w:t>
      </w:r>
      <w:r>
        <w:rPr>
          <w:rFonts w:hint="eastAsia"/>
          <w:b/>
          <w:bCs/>
          <w:sz w:val="24"/>
          <w:szCs w:val="20"/>
          <w:lang w:eastAsia="zh-CN"/>
        </w:rPr>
        <w:t xml:space="preserve">）</w:t>
      </w:r>
      <w:r>
        <w:rPr>
          <w:rFonts w:hint="eastAsia" w:eastAsia="宋体"/>
          <w:sz w:val="24"/>
          <w:szCs w:val="20"/>
          <w:lang w:eastAsia="zh-CN"/>
        </w:rPr>
      </w:r>
      <w:r/>
    </w:p>
    <w:p>
      <w:pPr>
        <w:pStyle w:val="651"/>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ind w:left="719" w:hanging="240"/>
        <w:spacing w:line="360" w:lineRule="auto"/>
        <w:rPr>
          <w:rFonts w:hint="eastAsia"/>
          <w:sz w:val="24"/>
          <w:szCs w:val="20"/>
        </w:rPr>
      </w:pPr>
      <w:r>
        <w:rPr>
          <w:rFonts w:hint="eastAsia"/>
          <w:sz w:val="24"/>
          <w:szCs w:val="20"/>
        </w:rPr>
      </w:r>
      <w:r/>
    </w:p>
    <w:p>
      <w:pPr>
        <w:pStyle w:val="651"/>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651"/>
        <w:jc w:val="center"/>
        <w:widowControl/>
        <w:rPr>
          <w:rFonts w:hint="eastAsia" w:ascii="宋体" w:hAnsi="宋体"/>
          <w:b/>
          <w:sz w:val="32"/>
          <w:szCs w:val="32"/>
        </w:rPr>
        <w:outlineLvl w:val="1"/>
      </w:pPr>
      <w:r>
        <w:rPr>
          <w:rFonts w:ascii="宋体" w:hAnsi="宋体"/>
          <w:b/>
          <w:sz w:val="32"/>
          <w:szCs w:val="32"/>
        </w:rPr>
        <w:t xml:space="preserve">二、商务技术文件格式</w:t>
      </w:r>
      <w:bookmarkStart w:id="817" w:name="_Toc142311058"/>
      <w:r/>
      <w:bookmarkStart w:id="818" w:name="_Toc226337252"/>
      <w:r/>
      <w:bookmarkStart w:id="819" w:name="_Toc195842921"/>
      <w:r/>
      <w:bookmarkStart w:id="820" w:name="_Toc226965829"/>
      <w:r/>
      <w:bookmarkStart w:id="821" w:name="_Toc150480794"/>
      <w:r/>
      <w:bookmarkStart w:id="822" w:name="_Toc520356217"/>
      <w:r/>
      <w:bookmarkStart w:id="823" w:name="_Ref467988698"/>
      <w:r/>
      <w:bookmarkStart w:id="824" w:name="_Toc226965746"/>
      <w:r/>
      <w:bookmarkStart w:id="825" w:name="_Toc127151556"/>
      <w:r/>
      <w:bookmarkStart w:id="826" w:name="_Toc226309800"/>
      <w:r/>
      <w:bookmarkStart w:id="827" w:name="_Toc150774761"/>
      <w:r/>
      <w:bookmarkStart w:id="828" w:name="_Toc480942349"/>
      <w:r>
        <w:rPr>
          <w:rFonts w:hint="eastAsia" w:ascii="宋体" w:hAnsi="宋体"/>
          <w:b/>
          <w:sz w:val="32"/>
          <w:szCs w:val="32"/>
        </w:rPr>
      </w:r>
      <w:r/>
    </w:p>
    <w:p>
      <w:pPr>
        <w:pStyle w:val="651"/>
        <w:jc w:val="center"/>
        <w:widowControl/>
        <w:rPr>
          <w:rFonts w:hint="eastAsia" w:ascii="宋体" w:hAnsi="宋体"/>
          <w:b/>
          <w:sz w:val="32"/>
          <w:szCs w:val="32"/>
        </w:rPr>
      </w:pPr>
      <w:r>
        <w:rPr>
          <w:rFonts w:hint="eastAsia" w:ascii="宋体" w:hAnsi="宋体"/>
          <w:b/>
          <w:sz w:val="32"/>
          <w:szCs w:val="32"/>
        </w:rPr>
      </w:r>
      <w:r/>
    </w:p>
    <w:p>
      <w:pPr>
        <w:pStyle w:val="651"/>
        <w:spacing w:line="360" w:lineRule="auto"/>
        <w:rPr>
          <w:color w:val="000000"/>
          <w:sz w:val="24"/>
          <w:szCs w:val="20"/>
        </w:rPr>
        <w:outlineLvl w:val="3"/>
      </w:pPr>
      <w:r>
        <w:rPr>
          <w:rFonts w:hint="eastAsia"/>
          <w:color w:val="000000"/>
          <w:sz w:val="24"/>
        </w:rPr>
        <w:t xml:space="preserve">1</w:t>
      </w:r>
      <w:r>
        <w:rPr>
          <w:rFonts w:hint="eastAsia"/>
          <w:color w:val="000000"/>
          <w:sz w:val="24"/>
          <w:szCs w:val="20"/>
          <w:lang w:eastAsia="zh-CN"/>
        </w:rPr>
        <w:t xml:space="preserve">、</w:t>
      </w:r>
      <w:r>
        <w:rPr>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rPr>
        <w:t xml:space="preserve">函</w:t>
      </w:r>
      <w:r>
        <w:rPr>
          <w:color w:val="000000"/>
          <w:sz w:val="24"/>
          <w:szCs w:val="20"/>
        </w:rPr>
        <w:t xml:space="preserve">（实质性格式）</w:t>
      </w:r>
      <w:r>
        <w:rPr>
          <w:color w:val="000000"/>
          <w:sz w:val="24"/>
          <w:szCs w:val="20"/>
        </w:rPr>
      </w:r>
      <w:r/>
    </w:p>
    <w:p>
      <w:pPr>
        <w:pStyle w:val="651"/>
        <w:spacing w:line="360" w:lineRule="auto"/>
        <w:tabs>
          <w:tab w:val="left" w:pos="5580" w:leader="none"/>
        </w:tabs>
        <w:rPr>
          <w:color w:val="000000"/>
          <w:sz w:val="24"/>
        </w:rPr>
      </w:pPr>
      <w:r>
        <w:rPr>
          <w:color w:val="000000"/>
          <w:sz w:val="24"/>
        </w:rPr>
      </w:r>
      <w:r/>
    </w:p>
    <w:p>
      <w:pPr>
        <w:pStyle w:val="651"/>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65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651"/>
        <w:spacing w:line="360" w:lineRule="auto"/>
        <w:tabs>
          <w:tab w:val="left" w:pos="5580" w:leader="none"/>
        </w:tabs>
        <w:rPr>
          <w:color w:val="000000"/>
          <w:sz w:val="24"/>
          <w:szCs w:val="20"/>
        </w:rPr>
      </w:pPr>
      <w:r>
        <w:rPr>
          <w:color w:val="000000"/>
          <w:sz w:val="24"/>
          <w:szCs w:val="20"/>
        </w:rPr>
      </w:r>
      <w:r/>
    </w:p>
    <w:p>
      <w:pPr>
        <w:pStyle w:val="651"/>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65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651"/>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65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65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65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65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651"/>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651"/>
        <w:ind w:left="420"/>
        <w:spacing w:line="360" w:lineRule="auto"/>
        <w:tabs>
          <w:tab w:val="left" w:pos="5580" w:leader="none"/>
        </w:tabs>
        <w:rPr>
          <w:color w:val="000000"/>
          <w:sz w:val="24"/>
          <w:szCs w:val="20"/>
        </w:rPr>
      </w:pPr>
      <w:r>
        <w:rPr>
          <w:color w:val="000000"/>
          <w:sz w:val="24"/>
          <w:szCs w:val="20"/>
        </w:rPr>
      </w:r>
      <w:r/>
    </w:p>
    <w:p>
      <w:pPr>
        <w:pStyle w:val="65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65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651"/>
        <w:ind w:left="420"/>
        <w:spacing w:line="360" w:lineRule="auto"/>
        <w:tabs>
          <w:tab w:val="left" w:pos="5580" w:leader="none"/>
        </w:tabs>
        <w:rPr>
          <w:color w:val="000000"/>
          <w:sz w:val="24"/>
          <w:szCs w:val="20"/>
        </w:rPr>
      </w:pPr>
      <w:r>
        <w:rPr>
          <w:color w:val="000000"/>
          <w:sz w:val="24"/>
          <w:szCs w:val="20"/>
        </w:rPr>
      </w:r>
      <w:r/>
    </w:p>
    <w:p>
      <w:pPr>
        <w:pStyle w:val="651"/>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65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651"/>
        <w:ind w:left="420"/>
        <w:spacing w:line="360" w:lineRule="auto"/>
        <w:tabs>
          <w:tab w:val="left" w:pos="5580" w:leader="none"/>
        </w:tabs>
        <w:rPr>
          <w:color w:val="000000"/>
          <w:sz w:val="24"/>
          <w:szCs w:val="20"/>
          <w:u w:val="single"/>
        </w:rPr>
      </w:pPr>
      <w:r>
        <w:rPr>
          <w:color w:val="000000"/>
          <w:sz w:val="24"/>
          <w:szCs w:val="20"/>
          <w:u w:val="single"/>
        </w:rPr>
      </w:r>
      <w:r/>
    </w:p>
    <w:p>
      <w:pPr>
        <w:pStyle w:val="651"/>
        <w:spacing w:line="360" w:lineRule="auto"/>
        <w:rPr>
          <w:rFonts w:hint="eastAsia"/>
          <w:color w:val="000000"/>
          <w:sz w:val="24"/>
        </w:rPr>
        <w:outlineLvl w:val="3"/>
      </w:pPr>
      <w:r/>
      <w:bookmarkStart w:id="829" w:name="_Hlt520355938"/>
      <w:r/>
      <w:bookmarkEnd w:id="829"/>
      <w:r/>
      <w:bookmarkStart w:id="830" w:name="_Hlt520356243"/>
      <w:r/>
      <w:bookmarkEnd w:id="830"/>
      <w:r>
        <w:rPr>
          <w:color w:val="000000"/>
          <w:sz w:val="24"/>
        </w:rPr>
        <w:br w:type="page" w:clear="all"/>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法定代表人资格证明书（实质性格式）</w:t>
      </w:r>
      <w:r>
        <w:rPr>
          <w:rFonts w:hint="eastAsia"/>
          <w:color w:val="000000"/>
          <w:sz w:val="24"/>
        </w:rPr>
      </w:r>
      <w:r/>
    </w:p>
    <w:p>
      <w:pPr>
        <w:pStyle w:val="651"/>
        <w:jc w:val="center"/>
        <w:spacing w:line="360" w:lineRule="auto"/>
        <w:rPr>
          <w:rFonts w:hint="eastAsia" w:ascii="宋体" w:hAnsi="宋体"/>
          <w:b/>
          <w:sz w:val="32"/>
          <w:szCs w:val="32"/>
        </w:rPr>
      </w:pPr>
      <w:r>
        <w:rPr>
          <w:rFonts w:hint="eastAsia" w:ascii="宋体" w:hAnsi="宋体"/>
          <w:b/>
          <w:sz w:val="32"/>
          <w:szCs w:val="32"/>
        </w:rPr>
      </w:r>
      <w:r/>
    </w:p>
    <w:p>
      <w:pPr>
        <w:pStyle w:val="65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65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65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65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651"/>
        <w:spacing w:line="560" w:lineRule="exact"/>
        <w:rPr>
          <w:rFonts w:ascii="宋体" w:hAnsi="宋体"/>
          <w:sz w:val="24"/>
        </w:rPr>
      </w:pP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65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68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51"/>
        <w:spacing w:line="56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651"/>
        <w:ind w:firstLine="4320"/>
        <w:spacing w:line="560" w:lineRule="exact"/>
        <w:rPr>
          <w:rFonts w:ascii="宋体" w:hAnsi="宋体"/>
          <w:sz w:val="24"/>
        </w:rPr>
      </w:pPr>
      <w:r>
        <w:rPr>
          <w:rFonts w:hint="eastAsia" w:ascii="宋体" w:hAnsi="宋体"/>
          <w:sz w:val="24"/>
        </w:rPr>
        <w:t xml:space="preserve">投标人</w:t>
      </w:r>
      <w:r>
        <w:rPr>
          <w:rFonts w:hint="eastAsia" w:ascii="宋体" w:hAnsi="宋体"/>
          <w:sz w:val="24"/>
          <w:lang w:val="en-US" w:eastAsia="zh-CN"/>
        </w:rPr>
        <w:t xml:space="preserve">名称</w:t>
      </w:r>
      <w:r>
        <w:rPr>
          <w:rFonts w:hint="eastAsia" w:ascii="宋体" w:hAnsi="宋体"/>
          <w:sz w:val="24"/>
        </w:rPr>
        <w:t xml:space="preserve">（加盖公章）</w:t>
      </w:r>
      <w:r>
        <w:rPr>
          <w:rFonts w:hint="eastAsia" w:ascii="宋体" w:hAnsi="宋体"/>
          <w:sz w:val="24"/>
        </w:rPr>
        <w:t xml:space="preserve">：</w:t>
      </w:r>
      <w:r>
        <w:rPr>
          <w:rFonts w:ascii="宋体" w:hAnsi="宋体"/>
          <w:sz w:val="24"/>
        </w:rPr>
      </w:r>
      <w:r/>
    </w:p>
    <w:p>
      <w:pPr>
        <w:pStyle w:val="65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651"/>
        <w:ind w:firstLine="4320"/>
        <w:spacing w:line="560" w:lineRule="exact"/>
        <w:rPr>
          <w:rFonts w:ascii="宋体" w:hAnsi="宋体"/>
          <w:sz w:val="24"/>
        </w:rPr>
      </w:pPr>
      <w:r>
        <w:rPr>
          <w:color w:val="000000"/>
          <w:sz w:val="24"/>
          <w:szCs w:val="20"/>
        </w:rPr>
        <w:t xml:space="preserve">日期：_____年______月______日</w:t>
      </w:r>
      <w:r>
        <w:rPr>
          <w:rFonts w:ascii="宋体" w:hAnsi="宋体"/>
          <w:sz w:val="24"/>
        </w:rPr>
      </w:r>
      <w:r/>
    </w:p>
    <w:p>
      <w:pPr>
        <w:pStyle w:val="651"/>
        <w:jc w:val="left"/>
        <w:widowControl/>
        <w:rPr>
          <w:rFonts w:hint="eastAsia"/>
          <w:color w:val="000000"/>
          <w:sz w:val="24"/>
        </w:rPr>
      </w:pPr>
      <w:r>
        <w:rPr>
          <w:rFonts w:hint="eastAsia"/>
          <w:color w:val="000000"/>
          <w:sz w:val="24"/>
        </w:rPr>
      </w:r>
      <w:r/>
    </w:p>
    <w:p>
      <w:pPr>
        <w:pStyle w:val="65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651"/>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651"/>
        <w:jc w:val="left"/>
        <w:widowControl/>
        <w:rPr>
          <w:rFonts w:hint="eastAsia"/>
          <w:color w:val="000000"/>
          <w:sz w:val="24"/>
        </w:rPr>
      </w:pPr>
      <w:r>
        <w:rPr>
          <w:rFonts w:hint="eastAsia"/>
          <w:color w:val="000000"/>
          <w:sz w:val="24"/>
        </w:rPr>
      </w:r>
      <w:r/>
    </w:p>
    <w:p>
      <w:pPr>
        <w:pStyle w:val="651"/>
        <w:jc w:val="left"/>
        <w:widowControl/>
        <w:rPr>
          <w:rFonts w:hint="eastAsia"/>
          <w:color w:val="000000"/>
          <w:sz w:val="24"/>
        </w:rPr>
      </w:pPr>
      <w:r>
        <w:rPr>
          <w:rFonts w:hint="eastAsia"/>
          <w:color w:val="000000"/>
          <w:sz w:val="24"/>
        </w:rPr>
      </w:r>
      <w:r/>
    </w:p>
    <w:p>
      <w:pPr>
        <w:pStyle w:val="651"/>
        <w:jc w:val="left"/>
        <w:widowControl/>
        <w:rPr>
          <w:rFonts w:hint="eastAsia" w:ascii="黑体" w:hAnsi="黑体" w:eastAsia="黑体"/>
          <w:b/>
          <w:sz w:val="32"/>
          <w:szCs w:val="32"/>
        </w:rPr>
        <w:outlineLvl w:val="3"/>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65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651"/>
        <w:ind w:firstLine="640"/>
      </w:p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65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03"/>
        <w:ind w:right="1050" w:firstLine="2880"/>
        <w:jc w:val="both"/>
        <w:keepLines w:val="0"/>
        <w:keepNext w:val="0"/>
        <w:pageBreakBefore w:val="0"/>
        <w:spacing w:line="400" w:lineRule="exact"/>
        <w:widowControl w:val="off"/>
        <w:rPr>
          <w:rFonts w:ascii="宋体" w:hAnsi="宋体" w:eastAsia="宋体"/>
          <w:sz w:val="24"/>
          <w:szCs w:val="22"/>
        </w:rPr>
      </w:pPr>
      <w:r>
        <w:rPr>
          <w:rFonts w:ascii="宋体" w:hAnsi="宋体" w:eastAsia="宋体"/>
          <w:sz w:val="24"/>
          <w:szCs w:val="22"/>
        </w:rPr>
      </w:r>
      <w:r/>
    </w:p>
    <w:p>
      <w:pPr>
        <w:pStyle w:val="651"/>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0"/>
        </w:rPr>
      </w:r>
      <w:r/>
    </w:p>
    <w:p>
      <w:pPr>
        <w:pStyle w:val="651"/>
        <w:keepLines w:val="0"/>
        <w:keepNext w:val="0"/>
        <w:pageBreakBefore w:val="0"/>
        <w:spacing w:before="25" w:after="25" w:line="400" w:lineRule="exact"/>
        <w:widowControl w:val="off"/>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lang w:val="zh-CN"/>
        </w:rPr>
      </w:r>
      <w:r/>
    </w:p>
    <w:p>
      <w:pPr>
        <w:pStyle w:val="651"/>
        <w:spacing w:line="360" w:lineRule="auto"/>
        <w:rPr>
          <w:rFonts w:hint="eastAsia" w:ascii="Times New Roman" w:hAnsi="Times New Roman" w:eastAsia="宋体" w:cs="Times New Roman"/>
          <w:color w:val="000000"/>
          <w:sz w:val="24"/>
        </w:rPr>
        <w:outlineLvl w:val="3"/>
      </w:pPr>
      <w:r/>
      <w:bookmarkStart w:id="831" w:name="_Hlt520271212"/>
      <w:r/>
      <w:bookmarkEnd w:id="831"/>
      <w:r/>
      <w:bookmarkStart w:id="832" w:name="_Hlt520274407"/>
      <w:r/>
      <w:bookmarkEnd w:id="832"/>
      <w:r/>
      <w:bookmarkStart w:id="833" w:name="_Hlt520274121"/>
      <w:r/>
      <w:bookmarkEnd w:id="833"/>
      <w:r/>
      <w:bookmarkStart w:id="834" w:name="_Hlt520274393"/>
      <w:r/>
      <w:bookmarkEnd w:id="834"/>
      <w:r/>
      <w:bookmarkStart w:id="835" w:name="_Hlt520273711"/>
      <w:r/>
      <w:bookmarkEnd w:id="835"/>
      <w:r/>
      <w:bookmarkStart w:id="836" w:name="_Hlt520274065"/>
      <w:r/>
      <w:bookmarkEnd w:id="836"/>
      <w:r/>
      <w:bookmarkStart w:id="837" w:name="_Hlt520343392"/>
      <w:r/>
      <w:bookmarkEnd w:id="837"/>
      <w:r/>
      <w:bookmarkStart w:id="838" w:name="_Hlt520343000"/>
      <w:r/>
      <w:bookmarkEnd w:id="838"/>
      <w:r/>
      <w:bookmarkStart w:id="839" w:name="_Hlt520355504"/>
      <w:r/>
      <w:bookmarkEnd w:id="839"/>
      <w:r/>
      <w:bookmarkStart w:id="840" w:name="_Hlt520350918"/>
      <w:r/>
      <w:bookmarkEnd w:id="840"/>
      <w:r/>
      <w:bookmarkStart w:id="841" w:name="_Toc226309801"/>
      <w:r/>
      <w:bookmarkStart w:id="842" w:name="_Toc150480795"/>
      <w:r/>
      <w:bookmarkStart w:id="843" w:name="_Toc305158899"/>
      <w:r/>
      <w:bookmarkStart w:id="844" w:name="_Toc480942350"/>
      <w:r/>
      <w:bookmarkStart w:id="845" w:name="_Toc305158825"/>
      <w:r/>
      <w:bookmarkStart w:id="846" w:name="_Toc264969247"/>
      <w:r/>
      <w:bookmarkStart w:id="847" w:name="_Toc150774762"/>
      <w:r/>
      <w:bookmarkStart w:id="848" w:name="_Toc520356218"/>
      <w:r/>
      <w:bookmarkStart w:id="849" w:name="_Toc142311059"/>
      <w:r/>
      <w:bookmarkStart w:id="850" w:name="_Toc226965830"/>
      <w:r/>
      <w:bookmarkStart w:id="851" w:name="_Toc226337253"/>
      <w:r/>
      <w:bookmarkStart w:id="852" w:name="_Toc226965747"/>
      <w:r/>
      <w:bookmarkStart w:id="853" w:name="_Toc265228395"/>
      <w:r/>
      <w:bookmarkStart w:id="854" w:name="_Toc127151557"/>
      <w:r/>
      <w:bookmarkStart w:id="855" w:name="_Ref467988705"/>
      <w:r/>
      <w:bookmarkStart w:id="856" w:name="_Toc195842922"/>
      <w:r>
        <w:rPr>
          <w:color w:val="000000"/>
          <w:sz w:val="24"/>
          <w:szCs w:val="20"/>
        </w:rPr>
        <w:br w:type="page" w:clear="all"/>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Times New Roman" w:hAnsi="Times New Roman" w:eastAsia="宋体" w:cs="Times New Roman"/>
          <w:color w:val="000000"/>
          <w:sz w:val="24"/>
        </w:rPr>
        <w:t xml:space="preserve">（实质性格式）</w:t>
      </w:r>
      <w:r>
        <w:rPr>
          <w:rFonts w:hint="eastAsia" w:ascii="Times New Roman" w:hAnsi="Times New Roman" w:eastAsia="宋体" w:cs="Times New Roman"/>
          <w:color w:val="000000"/>
          <w:sz w:val="24"/>
        </w:rPr>
      </w:r>
      <w:r/>
    </w:p>
    <w:p>
      <w:pPr>
        <w:pStyle w:val="651"/>
        <w:jc w:val="center"/>
        <w:spacing w:line="360" w:lineRule="exact"/>
        <w:rPr>
          <w:b/>
          <w:color w:val="000000"/>
          <w:sz w:val="36"/>
          <w:szCs w:val="36"/>
        </w:rPr>
      </w:pPr>
      <w:r/>
      <w:bookmarkStart w:id="857" w:name="_Toc264969248"/>
      <w:r/>
      <w:bookmarkStart w:id="858" w:name="_Toc164608827"/>
      <w:r/>
      <w:bookmarkStart w:id="859" w:name="_Toc226309802"/>
      <w:r/>
      <w:bookmarkStart w:id="860" w:name="_Toc265228396"/>
      <w:r/>
      <w:bookmarkStart w:id="861" w:name="_Toc305158826"/>
      <w:r/>
      <w:bookmarkStart w:id="862" w:name="_Toc195842923"/>
      <w:r/>
      <w:bookmarkStart w:id="863" w:name="_Toc226965831"/>
      <w:r/>
      <w:bookmarkStart w:id="864" w:name="_Toc226337254"/>
      <w:r/>
      <w:bookmarkStart w:id="865" w:name="_Toc164608672"/>
      <w:r/>
      <w:bookmarkStart w:id="866" w:name="_Toc226965748"/>
      <w:r/>
      <w:bookmarkStart w:id="867" w:name="_Toc305158900"/>
      <w:r>
        <w:rPr>
          <w:rFonts w:hint="eastAsia"/>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rPr>
      </w:r>
      <w:r/>
    </w:p>
    <w:p>
      <w:pPr>
        <w:pStyle w:val="651"/>
        <w:jc w:val="left"/>
        <w:spacing w:line="360" w:lineRule="auto"/>
        <w:tabs>
          <w:tab w:val="left" w:pos="1800" w:leader="none"/>
          <w:tab w:val="left" w:pos="5580" w:leader="none"/>
        </w:tabs>
        <w:rPr>
          <w:i/>
          <w:color w:val="ff0000"/>
          <w:sz w:val="24"/>
        </w:rPr>
      </w:pPr>
      <w:r>
        <w:rPr>
          <w:i/>
          <w:color w:val="ff0000"/>
          <w:sz w:val="24"/>
        </w:rPr>
      </w:r>
      <w:r/>
    </w:p>
    <w:p>
      <w:pPr>
        <w:pStyle w:val="651"/>
        <w:ind w:firstLine="240"/>
        <w:jc w:val="right"/>
        <w:spacing w:line="360" w:lineRule="auto"/>
        <w:tabs>
          <w:tab w:val="left" w:pos="1800" w:leader="none"/>
          <w:tab w:val="left" w:pos="5580" w:leader="none"/>
        </w:tabs>
        <w:rPr>
          <w:color w:val="000000"/>
          <w:sz w:val="24"/>
          <w:u w:val="single"/>
        </w:rPr>
      </w:pP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color w:val="000000"/>
          <w:sz w:val="24"/>
          <w:u w:val="single"/>
        </w:rPr>
      </w:r>
      <w:r/>
    </w:p>
    <w:tbl>
      <w:tblPr>
        <w:tblW w:w="5027" w:type="pct"/>
        <w:jc w:val="center"/>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2911"/>
        <w:gridCol w:w="2960"/>
        <w:gridCol w:w="3125"/>
      </w:tblGrid>
      <w:tr>
        <w:trPr>
          <w:trHeight w:val="1185"/>
        </w:trPr>
        <w:tc>
          <w:tcPr>
            <w:tcW w:w="415" w:type="dxa"/>
            <w:vAlign w:val="center"/>
            <w:textDirection w:val="lrTb"/>
            <w:noWrap w:val="false"/>
          </w:tcPr>
          <w:p>
            <w:pPr>
              <w:pStyle w:val="651"/>
              <w:jc w:val="center"/>
              <w:tabs>
                <w:tab w:val="left" w:pos="5580" w:leader="none"/>
              </w:tabs>
              <w:rPr>
                <w:b/>
                <w:sz w:val="24"/>
              </w:rPr>
            </w:pPr>
            <w:r>
              <w:rPr>
                <w:b/>
                <w:sz w:val="24"/>
              </w:rPr>
              <w:t xml:space="preserve">序号</w:t>
            </w:r>
            <w:r>
              <w:rPr>
                <w:b/>
                <w:sz w:val="24"/>
              </w:rPr>
            </w:r>
            <w:r/>
          </w:p>
        </w:tc>
        <w:tc>
          <w:tcPr>
            <w:tcW w:w="1483" w:type="dxa"/>
            <w:vAlign w:val="center"/>
            <w:textDirection w:val="lrTb"/>
            <w:noWrap w:val="false"/>
          </w:tcPr>
          <w:p>
            <w:pPr>
              <w:pStyle w:val="651"/>
              <w:jc w:val="center"/>
              <w:tabs>
                <w:tab w:val="left" w:pos="5580" w:leader="none"/>
              </w:tabs>
              <w:rPr>
                <w:b/>
                <w:sz w:val="24"/>
              </w:rPr>
            </w:pPr>
            <w:r>
              <w:rPr>
                <w:b/>
                <w:sz w:val="24"/>
              </w:rPr>
              <w:t xml:space="preserve">投标人名称</w:t>
            </w:r>
            <w:r>
              <w:rPr>
                <w:b/>
                <w:sz w:val="24"/>
              </w:rPr>
            </w:r>
            <w:r/>
          </w:p>
        </w:tc>
        <w:tc>
          <w:tcPr>
            <w:tcW w:w="1508" w:type="dxa"/>
            <w:vAlign w:val="center"/>
            <w:textDirection w:val="lrTb"/>
            <w:noWrap w:val="false"/>
          </w:tcPr>
          <w:p>
            <w:pPr>
              <w:pStyle w:val="651"/>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w:t>
            </w:r>
            <w:r>
              <w:rPr>
                <w:rFonts w:hint="eastAsia" w:eastAsia="宋体"/>
                <w:b/>
                <w:sz w:val="24"/>
                <w:lang w:val="en-US" w:eastAsia="zh-CN"/>
              </w:rPr>
            </w:r>
            <w:r/>
          </w:p>
        </w:tc>
        <w:tc>
          <w:tcPr>
            <w:tcW w:w="1592" w:type="dxa"/>
            <w:vAlign w:val="center"/>
            <w:textDirection w:val="lrTb"/>
            <w:noWrap w:val="false"/>
          </w:tcPr>
          <w:p>
            <w:pPr>
              <w:pStyle w:val="651"/>
              <w:jc w:val="center"/>
              <w:tabs>
                <w:tab w:val="left" w:pos="5580" w:leader="none"/>
              </w:tabs>
              <w:rPr>
                <w:rFonts w:eastAsia="宋体"/>
                <w:b/>
                <w:sz w:val="24"/>
                <w:lang w:val="en-US" w:eastAsia="zh-CN"/>
              </w:rPr>
            </w:pPr>
            <w:r>
              <w:rPr>
                <w:rFonts w:hint="eastAsia"/>
                <w:b/>
                <w:sz w:val="24"/>
                <w:lang w:val="en-US" w:eastAsia="zh-CN"/>
              </w:rPr>
              <w:t xml:space="preserve">项目负责人、电话</w:t>
            </w:r>
            <w:r>
              <w:rPr>
                <w:rFonts w:eastAsia="宋体"/>
                <w:b/>
                <w:sz w:val="24"/>
                <w:lang w:val="en-US" w:eastAsia="zh-CN"/>
              </w:rPr>
            </w:r>
            <w:r/>
          </w:p>
        </w:tc>
      </w:tr>
      <w:tr>
        <w:trPr>
          <w:trHeight w:val="1021"/>
        </w:trPr>
        <w:tc>
          <w:tcPr>
            <w:tcW w:w="415" w:type="dxa"/>
            <w:vAlign w:val="center"/>
            <w:textDirection w:val="lrTb"/>
            <w:noWrap w:val="false"/>
          </w:tcPr>
          <w:p>
            <w:pPr>
              <w:pStyle w:val="651"/>
              <w:jc w:val="center"/>
              <w:tabs>
                <w:tab w:val="left" w:pos="5580" w:leader="none"/>
              </w:tabs>
              <w:rPr>
                <w:sz w:val="24"/>
              </w:rPr>
            </w:pPr>
            <w:r>
              <w:rPr>
                <w:sz w:val="24"/>
              </w:rPr>
            </w:r>
            <w:r/>
          </w:p>
        </w:tc>
        <w:tc>
          <w:tcPr>
            <w:tcW w:w="1483" w:type="dxa"/>
            <w:vAlign w:val="center"/>
            <w:textDirection w:val="lrTb"/>
            <w:noWrap w:val="false"/>
          </w:tcPr>
          <w:p>
            <w:pPr>
              <w:pStyle w:val="651"/>
              <w:jc w:val="center"/>
              <w:tabs>
                <w:tab w:val="left" w:pos="5580" w:leader="none"/>
              </w:tabs>
              <w:rPr>
                <w:sz w:val="24"/>
              </w:rPr>
            </w:pPr>
            <w:r>
              <w:rPr>
                <w:sz w:val="24"/>
              </w:rPr>
            </w:r>
            <w:r/>
          </w:p>
        </w:tc>
        <w:tc>
          <w:tcPr>
            <w:tcW w:w="1508" w:type="dxa"/>
            <w:vAlign w:val="center"/>
            <w:textDirection w:val="lrTb"/>
            <w:noWrap w:val="false"/>
          </w:tcPr>
          <w:p>
            <w:pPr>
              <w:pStyle w:val="651"/>
              <w:jc w:val="center"/>
              <w:tabs>
                <w:tab w:val="left" w:pos="5580" w:leader="none"/>
              </w:tabs>
              <w:rPr>
                <w:sz w:val="24"/>
              </w:rPr>
            </w:pPr>
            <w:r>
              <w:rPr>
                <w:sz w:val="24"/>
              </w:rPr>
            </w:r>
            <w:r/>
          </w:p>
        </w:tc>
        <w:tc>
          <w:tcPr>
            <w:tcW w:w="1592" w:type="dxa"/>
            <w:vAlign w:val="center"/>
            <w:textDirection w:val="lrTb"/>
            <w:noWrap w:val="false"/>
          </w:tcPr>
          <w:p>
            <w:pPr>
              <w:pStyle w:val="651"/>
              <w:jc w:val="center"/>
              <w:tabs>
                <w:tab w:val="left" w:pos="5580" w:leader="none"/>
              </w:tabs>
              <w:rPr>
                <w:sz w:val="24"/>
              </w:rPr>
            </w:pPr>
            <w:r>
              <w:rPr>
                <w:sz w:val="24"/>
              </w:rPr>
            </w:r>
            <w:r/>
          </w:p>
        </w:tc>
      </w:tr>
    </w:tbl>
    <w:p>
      <w:pPr>
        <w:pStyle w:val="651"/>
        <w:jc w:val="left"/>
        <w:rPr>
          <w:color w:val="000000"/>
          <w:sz w:val="24"/>
        </w:rPr>
      </w:pPr>
      <w:r>
        <w:rPr>
          <w:color w:val="000000"/>
          <w:sz w:val="24"/>
        </w:rPr>
      </w:r>
      <w:r/>
    </w:p>
    <w:p>
      <w:pPr>
        <w:pStyle w:val="65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5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5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51"/>
        <w:spacing w:line="360" w:lineRule="auto"/>
        <w:rPr>
          <w:color w:val="000000"/>
          <w:sz w:val="24"/>
          <w:szCs w:val="20"/>
        </w:rPr>
        <w:outlineLvl w:val="3"/>
      </w:pPr>
      <w:r/>
      <w:bookmarkStart w:id="868" w:name="_Toc226965749"/>
      <w:r/>
      <w:bookmarkStart w:id="869" w:name="_Toc226965832"/>
      <w:r/>
      <w:bookmarkStart w:id="870" w:name="_Toc305158827"/>
      <w:r/>
      <w:bookmarkStart w:id="871" w:name="_Toc150774763"/>
      <w:r/>
      <w:bookmarkStart w:id="872" w:name="_Toc226309803"/>
      <w:r/>
      <w:bookmarkStart w:id="873" w:name="_Toc305158901"/>
      <w:r/>
      <w:bookmarkStart w:id="874" w:name="_Toc150480796"/>
      <w:r/>
      <w:bookmarkStart w:id="875" w:name="_Toc226337255"/>
      <w:r/>
      <w:bookmarkStart w:id="876" w:name="_Toc127151558"/>
      <w:r/>
      <w:bookmarkStart w:id="877" w:name="_Toc142311060"/>
      <w:r/>
      <w:bookmarkStart w:id="878" w:name="_Toc265228397"/>
      <w:r/>
      <w:bookmarkStart w:id="879" w:name="_Toc264969249"/>
      <w:r/>
      <w:bookmarkStart w:id="880" w:name="_Toc195842924"/>
      <w:r>
        <w:rPr>
          <w:color w:val="000000"/>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50774765"/>
      <w:r/>
      <w:bookmarkStart w:id="882" w:name="_Toc305158904"/>
      <w:r/>
      <w:bookmarkStart w:id="883" w:name="_Toc264969252"/>
      <w:r/>
      <w:bookmarkStart w:id="884" w:name="_Toc265228400"/>
      <w:r/>
      <w:bookmarkStart w:id="885" w:name="_Toc305158830"/>
      <w:r/>
      <w:bookmarkStart w:id="886" w:name="_Toc142311062"/>
      <w:r/>
      <w:bookmarkStart w:id="887" w:name="_Toc226337258"/>
      <w:r/>
      <w:bookmarkStart w:id="888" w:name="_Toc226309806"/>
      <w:r/>
      <w:bookmarkStart w:id="889" w:name="_Toc226965835"/>
      <w:r/>
      <w:bookmarkStart w:id="890" w:name="_Toc195842927"/>
      <w:r/>
      <w:bookmarkStart w:id="891" w:name="_Toc127151562"/>
      <w:r/>
      <w:bookmarkStart w:id="892" w:name="_Toc226965752"/>
      <w:r/>
      <w:bookmarkStart w:id="893" w:name="_Toc150480798"/>
      <w:r/>
      <w:bookmarkStart w:id="894" w:name="_Toc226337257"/>
      <w:r/>
      <w:bookmarkStart w:id="895" w:name="_Toc150774764"/>
      <w:r/>
      <w:bookmarkStart w:id="896" w:name="_Toc305158829"/>
      <w:r/>
      <w:bookmarkStart w:id="897" w:name="_Toc226965834"/>
      <w:r/>
      <w:bookmarkStart w:id="898" w:name="_Toc127151561"/>
      <w:r/>
      <w:bookmarkStart w:id="899" w:name="_Toc195842926"/>
      <w:r/>
      <w:bookmarkStart w:id="900" w:name="_Toc305158903"/>
      <w:r/>
      <w:bookmarkStart w:id="901" w:name="_Toc226309805"/>
      <w:r/>
      <w:bookmarkStart w:id="902" w:name="_Toc265228399"/>
      <w:r/>
      <w:bookmarkStart w:id="903" w:name="_Toc142311061"/>
      <w:r/>
      <w:bookmarkStart w:id="904" w:name="_Toc150480797"/>
      <w:r/>
      <w:bookmarkStart w:id="905" w:name="_Toc226965751"/>
      <w:r/>
      <w:bookmarkStart w:id="906" w:name="_Toc264969251"/>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ascii="Times New Roman" w:hAnsi="Times New Roman" w:eastAsia="宋体" w:cs="Times New Roman"/>
          <w:color w:val="000000"/>
          <w:sz w:val="24"/>
        </w:rPr>
        <w:t xml:space="preserve">（实质性格式）</w:t>
      </w:r>
      <w:r>
        <w:rPr>
          <w:color w:val="000000"/>
          <w:sz w:val="24"/>
          <w:szCs w:val="20"/>
        </w:rPr>
      </w:r>
      <w:r/>
    </w:p>
    <w:p>
      <w:pPr>
        <w:pStyle w:val="651"/>
        <w:jc w:val="center"/>
        <w:spacing w:line="360" w:lineRule="auto"/>
        <w:tabs>
          <w:tab w:val="left" w:pos="2775" w:leader="none"/>
          <w:tab w:val="center" w:pos="4153" w:leader="none"/>
        </w:tabs>
        <w:rPr>
          <w:color w:val="000000"/>
          <w:sz w:val="24"/>
        </w:rPr>
      </w:pPr>
      <w:r>
        <w:rPr>
          <w:rFonts w:hint="eastAsia"/>
          <w:b/>
          <w:color w:val="000000"/>
          <w:sz w:val="36"/>
          <w:szCs w:val="36"/>
        </w:rPr>
        <w:t xml:space="preserve">合同条款偏离表</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21"/>
        <w:gridCol w:w="1900"/>
        <w:gridCol w:w="1750"/>
        <w:gridCol w:w="2003"/>
        <w:gridCol w:w="1239"/>
      </w:tblGrid>
      <w:tr>
        <w:trPr>
          <w:trHeight w:val="1268"/>
        </w:trPr>
        <w:tc>
          <w:tcPr>
            <w:gridSpan w:val="6"/>
            <w:tcW w:w="9847" w:type="dxa"/>
            <w:vAlign w:val="center"/>
            <w:textDirection w:val="lrTb"/>
            <w:noWrap w:val="false"/>
          </w:tcPr>
          <w:p>
            <w:pPr>
              <w:pStyle w:val="651"/>
              <w:spacing w:line="400" w:lineRule="exact"/>
              <w:rPr>
                <w:rFonts w:hint="eastAsia" w:ascii="宋体" w:hAnsi="宋体" w:eastAsia="宋体" w:cs="宋体"/>
                <w:sz w:val="24"/>
              </w:rPr>
            </w:pPr>
            <w:r>
              <w:rPr>
                <w:rFonts w:hint="eastAsia" w:ascii="宋体" w:hAnsi="宋体" w:eastAsia="宋体" w:cs="宋体"/>
                <w:sz w:val="24"/>
              </w:rPr>
              <w:t xml:space="preserve">对本项目合同条款的偏离情况（请进行勾选）：</w:t>
            </w:r>
            <w:r>
              <w:rPr>
                <w:rFonts w:hint="eastAsia" w:ascii="宋体" w:hAnsi="宋体" w:eastAsia="宋体" w:cs="宋体"/>
                <w:sz w:val="24"/>
              </w:rPr>
            </w:r>
            <w:r/>
          </w:p>
          <w:p>
            <w:pPr>
              <w:pStyle w:val="651"/>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hint="eastAsia" w:ascii="宋体" w:hAnsi="宋体" w:eastAsia="宋体" w:cs="宋体"/>
                <w:sz w:val="24"/>
              </w:rPr>
            </w:r>
            <w:r/>
          </w:p>
          <w:p>
            <w:pPr>
              <w:pStyle w:val="651"/>
              <w:spacing w:line="400" w:lineRule="exact"/>
              <w:rPr>
                <w:color w:val="000000"/>
                <w:sz w:val="24"/>
              </w:rPr>
            </w:pPr>
            <w:r>
              <w:rPr>
                <w:rFonts w:hint="eastAsia" w:ascii="宋体" w:hAnsi="宋体" w:eastAsia="宋体" w:cs="宋体"/>
                <w:sz w:val="24"/>
              </w:rPr>
              <w:t xml:space="preserve">□有偏离（如有偏离，则应在本表中对偏离项逐一列明）</w:t>
            </w:r>
            <w:r>
              <w:rPr>
                <w:color w:val="000000"/>
                <w:sz w:val="24"/>
              </w:rPr>
            </w:r>
            <w:r/>
          </w:p>
        </w:tc>
      </w:tr>
      <w:tr>
        <w:trPr>
          <w:trHeight w:val="930"/>
        </w:trPr>
        <w:tc>
          <w:tcPr>
            <w:tcW w:w="834" w:type="dxa"/>
            <w:vAlign w:val="center"/>
            <w:textDirection w:val="lrTb"/>
            <w:noWrap w:val="false"/>
          </w:tcPr>
          <w:p>
            <w:pPr>
              <w:pStyle w:val="651"/>
              <w:jc w:val="center"/>
              <w:rPr>
                <w:b/>
                <w:bCs/>
                <w:color w:val="000000"/>
                <w:sz w:val="24"/>
              </w:rPr>
            </w:pPr>
            <w:r>
              <w:rPr>
                <w:b/>
                <w:bCs/>
                <w:color w:val="000000"/>
                <w:sz w:val="24"/>
              </w:rPr>
              <w:t xml:space="preserve">序号</w:t>
            </w:r>
            <w:r>
              <w:rPr>
                <w:b/>
                <w:bCs/>
                <w:color w:val="000000"/>
                <w:sz w:val="24"/>
              </w:rPr>
            </w:r>
            <w:r/>
          </w:p>
        </w:tc>
        <w:tc>
          <w:tcPr>
            <w:tcW w:w="2121" w:type="dxa"/>
            <w:vAlign w:val="center"/>
            <w:textDirection w:val="lrTb"/>
            <w:noWrap w:val="false"/>
          </w:tcPr>
          <w:p>
            <w:pPr>
              <w:pStyle w:val="651"/>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900" w:type="dxa"/>
            <w:vAlign w:val="center"/>
            <w:textDirection w:val="lrTb"/>
            <w:noWrap w:val="false"/>
          </w:tcPr>
          <w:p>
            <w:pPr>
              <w:pStyle w:val="651"/>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750" w:type="dxa"/>
            <w:vAlign w:val="center"/>
            <w:textDirection w:val="lrTb"/>
            <w:noWrap w:val="false"/>
          </w:tcPr>
          <w:p>
            <w:pPr>
              <w:pStyle w:val="651"/>
              <w:jc w:val="center"/>
              <w:rPr>
                <w:b/>
                <w:bCs/>
                <w:color w:val="000000"/>
                <w:sz w:val="24"/>
              </w:rPr>
            </w:pPr>
            <w:r>
              <w:rPr>
                <w:b/>
                <w:bCs/>
                <w:color w:val="000000"/>
                <w:sz w:val="24"/>
              </w:rPr>
              <w:t xml:space="preserve">投标文件内容</w:t>
            </w:r>
            <w:r>
              <w:rPr>
                <w:b/>
                <w:bCs/>
                <w:color w:val="000000"/>
                <w:sz w:val="24"/>
              </w:rPr>
            </w:r>
            <w:r/>
          </w:p>
        </w:tc>
        <w:tc>
          <w:tcPr>
            <w:tcW w:w="2003" w:type="dxa"/>
            <w:vAlign w:val="center"/>
            <w:textDirection w:val="lrTb"/>
            <w:noWrap w:val="false"/>
          </w:tcPr>
          <w:p>
            <w:pPr>
              <w:pStyle w:val="651"/>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偏离情况</w:t>
            </w:r>
            <w:r>
              <w:rPr>
                <w:rFonts w:hint="eastAsia" w:ascii="宋体" w:hAnsi="宋体" w:eastAsia="宋体" w:cs="宋体"/>
                <w:b/>
                <w:bCs/>
                <w:sz w:val="24"/>
              </w:rPr>
            </w:r>
            <w:r/>
          </w:p>
          <w:p>
            <w:pPr>
              <w:pStyle w:val="651"/>
              <w:jc w:val="center"/>
              <w:rPr>
                <w:b/>
                <w:bCs/>
                <w:color w:val="000000"/>
                <w:sz w:val="24"/>
              </w:rPr>
            </w:pPr>
            <w:r>
              <w:rPr>
                <w:rFonts w:hint="eastAsia" w:ascii="宋体" w:hAnsi="宋体" w:eastAsia="宋体" w:cs="宋体"/>
                <w:b/>
                <w:bCs/>
                <w:sz w:val="24"/>
              </w:rPr>
              <w:t xml:space="preserve">（据实填写）</w:t>
            </w:r>
            <w:r>
              <w:rPr>
                <w:b/>
                <w:bCs/>
                <w:color w:val="000000"/>
                <w:sz w:val="24"/>
              </w:rPr>
            </w:r>
            <w:r/>
          </w:p>
        </w:tc>
        <w:tc>
          <w:tcPr>
            <w:tcW w:w="1239" w:type="dxa"/>
            <w:vAlign w:val="center"/>
            <w:textDirection w:val="lrTb"/>
            <w:noWrap w:val="false"/>
          </w:tcPr>
          <w:p>
            <w:pPr>
              <w:pStyle w:val="651"/>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651"/>
              <w:jc w:val="center"/>
              <w:rPr>
                <w:color w:val="000000"/>
                <w:sz w:val="24"/>
              </w:rPr>
            </w:pPr>
            <w:r>
              <w:rPr>
                <w:color w:val="000000"/>
                <w:sz w:val="24"/>
              </w:rPr>
            </w:r>
            <w:r/>
          </w:p>
        </w:tc>
        <w:tc>
          <w:tcPr>
            <w:tcW w:w="2121" w:type="dxa"/>
            <w:vAlign w:val="center"/>
            <w:textDirection w:val="lrTb"/>
            <w:noWrap w:val="false"/>
          </w:tcPr>
          <w:p>
            <w:pPr>
              <w:pStyle w:val="651"/>
              <w:jc w:val="center"/>
              <w:rPr>
                <w:color w:val="000000"/>
                <w:sz w:val="24"/>
              </w:rPr>
            </w:pPr>
            <w:r>
              <w:rPr>
                <w:color w:val="000000"/>
                <w:sz w:val="24"/>
              </w:rPr>
            </w:r>
            <w:r/>
          </w:p>
        </w:tc>
        <w:tc>
          <w:tcPr>
            <w:tcW w:w="1900" w:type="dxa"/>
            <w:vAlign w:val="center"/>
            <w:textDirection w:val="lrTb"/>
            <w:noWrap w:val="false"/>
          </w:tcPr>
          <w:p>
            <w:pPr>
              <w:pStyle w:val="651"/>
              <w:jc w:val="center"/>
              <w:rPr>
                <w:color w:val="000000"/>
                <w:sz w:val="24"/>
              </w:rPr>
            </w:pPr>
            <w:r>
              <w:rPr>
                <w:color w:val="000000"/>
                <w:sz w:val="24"/>
              </w:rPr>
            </w:r>
            <w:r/>
          </w:p>
        </w:tc>
        <w:tc>
          <w:tcPr>
            <w:tcW w:w="1750" w:type="dxa"/>
            <w:vAlign w:val="center"/>
            <w:textDirection w:val="lrTb"/>
            <w:noWrap w:val="false"/>
          </w:tcPr>
          <w:p>
            <w:pPr>
              <w:pStyle w:val="651"/>
              <w:jc w:val="center"/>
              <w:rPr>
                <w:color w:val="000000"/>
                <w:sz w:val="24"/>
              </w:rPr>
            </w:pPr>
            <w:r>
              <w:rPr>
                <w:color w:val="000000"/>
                <w:sz w:val="24"/>
              </w:rPr>
            </w:r>
            <w:r/>
          </w:p>
        </w:tc>
        <w:tc>
          <w:tcPr>
            <w:tcW w:w="2003" w:type="dxa"/>
            <w:vAlign w:val="center"/>
            <w:textDirection w:val="lrTb"/>
            <w:noWrap w:val="false"/>
          </w:tcPr>
          <w:p>
            <w:pPr>
              <w:pStyle w:val="651"/>
              <w:jc w:val="center"/>
              <w:rPr>
                <w:color w:val="000000"/>
                <w:sz w:val="24"/>
              </w:rPr>
            </w:pPr>
            <w:r>
              <w:rPr>
                <w:color w:val="000000"/>
                <w:sz w:val="24"/>
              </w:rPr>
            </w:r>
            <w:r/>
          </w:p>
        </w:tc>
        <w:tc>
          <w:tcPr>
            <w:tcW w:w="1239" w:type="dxa"/>
            <w:vAlign w:val="center"/>
            <w:textDirection w:val="lrTb"/>
            <w:noWrap w:val="false"/>
          </w:tcPr>
          <w:p>
            <w:pPr>
              <w:pStyle w:val="651"/>
              <w:jc w:val="center"/>
              <w:rPr>
                <w:color w:val="000000"/>
                <w:sz w:val="24"/>
              </w:rPr>
            </w:pPr>
            <w:r>
              <w:rPr>
                <w:color w:val="000000"/>
                <w:sz w:val="24"/>
              </w:rPr>
            </w:r>
            <w:r/>
          </w:p>
        </w:tc>
      </w:tr>
      <w:tr>
        <w:trPr>
          <w:trHeight w:val="930"/>
        </w:trPr>
        <w:tc>
          <w:tcPr>
            <w:tcW w:w="834" w:type="dxa"/>
            <w:vAlign w:val="center"/>
            <w:textDirection w:val="lrTb"/>
            <w:noWrap w:val="false"/>
          </w:tcPr>
          <w:p>
            <w:pPr>
              <w:pStyle w:val="651"/>
              <w:jc w:val="center"/>
              <w:rPr>
                <w:color w:val="000000"/>
                <w:sz w:val="24"/>
              </w:rPr>
            </w:pPr>
            <w:r>
              <w:rPr>
                <w:color w:val="000000"/>
                <w:sz w:val="24"/>
              </w:rPr>
            </w:r>
            <w:r/>
          </w:p>
        </w:tc>
        <w:tc>
          <w:tcPr>
            <w:tcW w:w="2121" w:type="dxa"/>
            <w:vAlign w:val="center"/>
            <w:textDirection w:val="lrTb"/>
            <w:noWrap w:val="false"/>
          </w:tcPr>
          <w:p>
            <w:pPr>
              <w:pStyle w:val="651"/>
              <w:jc w:val="center"/>
              <w:rPr>
                <w:color w:val="000000"/>
                <w:sz w:val="24"/>
              </w:rPr>
            </w:pPr>
            <w:r>
              <w:rPr>
                <w:color w:val="000000"/>
                <w:sz w:val="24"/>
              </w:rPr>
            </w:r>
            <w:r/>
          </w:p>
        </w:tc>
        <w:tc>
          <w:tcPr>
            <w:tcW w:w="1900" w:type="dxa"/>
            <w:vAlign w:val="center"/>
            <w:textDirection w:val="lrTb"/>
            <w:noWrap w:val="false"/>
          </w:tcPr>
          <w:p>
            <w:pPr>
              <w:pStyle w:val="651"/>
              <w:jc w:val="center"/>
              <w:rPr>
                <w:color w:val="000000"/>
                <w:sz w:val="24"/>
              </w:rPr>
            </w:pPr>
            <w:r>
              <w:rPr>
                <w:color w:val="000000"/>
                <w:sz w:val="24"/>
              </w:rPr>
            </w:r>
            <w:r/>
          </w:p>
        </w:tc>
        <w:tc>
          <w:tcPr>
            <w:tcW w:w="1750" w:type="dxa"/>
            <w:vAlign w:val="center"/>
            <w:textDirection w:val="lrTb"/>
            <w:noWrap w:val="false"/>
          </w:tcPr>
          <w:p>
            <w:pPr>
              <w:pStyle w:val="651"/>
              <w:jc w:val="center"/>
              <w:rPr>
                <w:color w:val="000000"/>
                <w:sz w:val="24"/>
              </w:rPr>
            </w:pPr>
            <w:r>
              <w:rPr>
                <w:color w:val="000000"/>
                <w:sz w:val="24"/>
              </w:rPr>
            </w:r>
            <w:r/>
          </w:p>
        </w:tc>
        <w:tc>
          <w:tcPr>
            <w:tcW w:w="2003" w:type="dxa"/>
            <w:vAlign w:val="center"/>
            <w:textDirection w:val="lrTb"/>
            <w:noWrap w:val="false"/>
          </w:tcPr>
          <w:p>
            <w:pPr>
              <w:pStyle w:val="651"/>
              <w:jc w:val="center"/>
              <w:rPr>
                <w:color w:val="000000"/>
                <w:sz w:val="24"/>
              </w:rPr>
            </w:pPr>
            <w:r>
              <w:rPr>
                <w:color w:val="000000"/>
                <w:sz w:val="24"/>
              </w:rPr>
            </w:r>
            <w:r/>
          </w:p>
        </w:tc>
        <w:tc>
          <w:tcPr>
            <w:tcW w:w="1239" w:type="dxa"/>
            <w:vAlign w:val="center"/>
            <w:textDirection w:val="lrTb"/>
            <w:noWrap w:val="false"/>
          </w:tcPr>
          <w:p>
            <w:pPr>
              <w:pStyle w:val="651"/>
              <w:jc w:val="center"/>
              <w:rPr>
                <w:color w:val="000000"/>
                <w:sz w:val="24"/>
              </w:rPr>
            </w:pPr>
            <w:r>
              <w:rPr>
                <w:color w:val="000000"/>
                <w:sz w:val="24"/>
              </w:rPr>
            </w:r>
            <w:r/>
          </w:p>
        </w:tc>
      </w:tr>
      <w:tr>
        <w:trPr>
          <w:trHeight w:val="930"/>
        </w:trPr>
        <w:tc>
          <w:tcPr>
            <w:tcW w:w="834" w:type="dxa"/>
            <w:vAlign w:val="center"/>
            <w:textDirection w:val="lrTb"/>
            <w:noWrap w:val="false"/>
          </w:tcPr>
          <w:p>
            <w:pPr>
              <w:pStyle w:val="651"/>
              <w:jc w:val="center"/>
              <w:rPr>
                <w:color w:val="000000"/>
                <w:sz w:val="24"/>
              </w:rPr>
            </w:pPr>
            <w:r>
              <w:rPr>
                <w:color w:val="000000"/>
                <w:sz w:val="24"/>
              </w:rPr>
            </w:r>
            <w:r/>
          </w:p>
        </w:tc>
        <w:tc>
          <w:tcPr>
            <w:tcW w:w="2121" w:type="dxa"/>
            <w:vAlign w:val="center"/>
            <w:textDirection w:val="lrTb"/>
            <w:noWrap w:val="false"/>
          </w:tcPr>
          <w:p>
            <w:pPr>
              <w:pStyle w:val="651"/>
              <w:jc w:val="center"/>
              <w:rPr>
                <w:color w:val="000000"/>
                <w:sz w:val="24"/>
              </w:rPr>
            </w:pPr>
            <w:r>
              <w:rPr>
                <w:color w:val="000000"/>
                <w:sz w:val="24"/>
              </w:rPr>
            </w:r>
            <w:r/>
          </w:p>
        </w:tc>
        <w:tc>
          <w:tcPr>
            <w:tcW w:w="1900" w:type="dxa"/>
            <w:vAlign w:val="center"/>
            <w:textDirection w:val="lrTb"/>
            <w:noWrap w:val="false"/>
          </w:tcPr>
          <w:p>
            <w:pPr>
              <w:pStyle w:val="651"/>
              <w:jc w:val="center"/>
              <w:rPr>
                <w:color w:val="000000"/>
                <w:sz w:val="24"/>
              </w:rPr>
            </w:pPr>
            <w:r>
              <w:rPr>
                <w:color w:val="000000"/>
                <w:sz w:val="24"/>
              </w:rPr>
            </w:r>
            <w:r/>
          </w:p>
        </w:tc>
        <w:tc>
          <w:tcPr>
            <w:tcW w:w="1750" w:type="dxa"/>
            <w:vAlign w:val="center"/>
            <w:textDirection w:val="lrTb"/>
            <w:noWrap w:val="false"/>
          </w:tcPr>
          <w:p>
            <w:pPr>
              <w:pStyle w:val="651"/>
              <w:jc w:val="center"/>
              <w:rPr>
                <w:color w:val="000000"/>
                <w:sz w:val="24"/>
              </w:rPr>
            </w:pPr>
            <w:r>
              <w:rPr>
                <w:color w:val="000000"/>
                <w:sz w:val="24"/>
              </w:rPr>
            </w:r>
            <w:r/>
          </w:p>
        </w:tc>
        <w:tc>
          <w:tcPr>
            <w:tcW w:w="2003" w:type="dxa"/>
            <w:vAlign w:val="center"/>
            <w:textDirection w:val="lrTb"/>
            <w:noWrap w:val="false"/>
          </w:tcPr>
          <w:p>
            <w:pPr>
              <w:pStyle w:val="651"/>
              <w:jc w:val="center"/>
              <w:rPr>
                <w:color w:val="000000"/>
                <w:sz w:val="24"/>
              </w:rPr>
            </w:pPr>
            <w:r>
              <w:rPr>
                <w:color w:val="000000"/>
                <w:sz w:val="24"/>
              </w:rPr>
            </w:r>
            <w:r/>
          </w:p>
        </w:tc>
        <w:tc>
          <w:tcPr>
            <w:tcW w:w="1239" w:type="dxa"/>
            <w:vAlign w:val="center"/>
            <w:textDirection w:val="lrTb"/>
            <w:noWrap w:val="false"/>
          </w:tcPr>
          <w:p>
            <w:pPr>
              <w:pStyle w:val="651"/>
              <w:jc w:val="center"/>
              <w:rPr>
                <w:color w:val="000000"/>
                <w:sz w:val="24"/>
              </w:rPr>
            </w:pPr>
            <w:r>
              <w:rPr>
                <w:color w:val="000000"/>
                <w:sz w:val="24"/>
              </w:rPr>
            </w:r>
            <w:r/>
          </w:p>
        </w:tc>
      </w:tr>
      <w:tr>
        <w:trPr>
          <w:trHeight w:val="930"/>
        </w:trPr>
        <w:tc>
          <w:tcPr>
            <w:tcW w:w="834" w:type="dxa"/>
            <w:vAlign w:val="center"/>
            <w:textDirection w:val="lrTb"/>
            <w:noWrap w:val="false"/>
          </w:tcPr>
          <w:p>
            <w:pPr>
              <w:pStyle w:val="651"/>
              <w:jc w:val="center"/>
              <w:rPr>
                <w:color w:val="000000"/>
                <w:sz w:val="24"/>
              </w:rPr>
            </w:pPr>
            <w:r>
              <w:rPr>
                <w:color w:val="000000"/>
                <w:sz w:val="24"/>
              </w:rPr>
              <w:t xml:space="preserve">……</w:t>
            </w:r>
            <w:r>
              <w:rPr>
                <w:color w:val="000000"/>
                <w:sz w:val="24"/>
              </w:rPr>
            </w:r>
            <w:r/>
          </w:p>
        </w:tc>
        <w:tc>
          <w:tcPr>
            <w:tcW w:w="2121" w:type="dxa"/>
            <w:vAlign w:val="center"/>
            <w:textDirection w:val="lrTb"/>
            <w:noWrap w:val="false"/>
          </w:tcPr>
          <w:p>
            <w:pPr>
              <w:pStyle w:val="651"/>
              <w:jc w:val="center"/>
              <w:rPr>
                <w:color w:val="000000"/>
                <w:sz w:val="24"/>
              </w:rPr>
            </w:pPr>
            <w:r>
              <w:rPr>
                <w:color w:val="000000"/>
                <w:sz w:val="24"/>
              </w:rPr>
            </w:r>
            <w:r/>
          </w:p>
        </w:tc>
        <w:tc>
          <w:tcPr>
            <w:tcW w:w="1900" w:type="dxa"/>
            <w:vAlign w:val="center"/>
            <w:textDirection w:val="lrTb"/>
            <w:noWrap w:val="false"/>
          </w:tcPr>
          <w:p>
            <w:pPr>
              <w:pStyle w:val="651"/>
              <w:jc w:val="center"/>
              <w:rPr>
                <w:color w:val="000000"/>
                <w:sz w:val="24"/>
              </w:rPr>
            </w:pPr>
            <w:r>
              <w:rPr>
                <w:color w:val="000000"/>
                <w:sz w:val="24"/>
              </w:rPr>
            </w:r>
            <w:r/>
          </w:p>
        </w:tc>
        <w:tc>
          <w:tcPr>
            <w:tcW w:w="1750" w:type="dxa"/>
            <w:vAlign w:val="center"/>
            <w:textDirection w:val="lrTb"/>
            <w:noWrap w:val="false"/>
          </w:tcPr>
          <w:p>
            <w:pPr>
              <w:pStyle w:val="651"/>
              <w:jc w:val="center"/>
              <w:rPr>
                <w:color w:val="000000"/>
                <w:sz w:val="24"/>
              </w:rPr>
            </w:pPr>
            <w:r>
              <w:rPr>
                <w:color w:val="000000"/>
                <w:sz w:val="24"/>
              </w:rPr>
            </w:r>
            <w:r/>
          </w:p>
        </w:tc>
        <w:tc>
          <w:tcPr>
            <w:tcW w:w="2003" w:type="dxa"/>
            <w:vAlign w:val="center"/>
            <w:textDirection w:val="lrTb"/>
            <w:noWrap w:val="false"/>
          </w:tcPr>
          <w:p>
            <w:pPr>
              <w:pStyle w:val="651"/>
              <w:jc w:val="center"/>
              <w:rPr>
                <w:color w:val="000000"/>
                <w:sz w:val="24"/>
              </w:rPr>
            </w:pPr>
            <w:r>
              <w:rPr>
                <w:color w:val="000000"/>
                <w:sz w:val="24"/>
              </w:rPr>
            </w:r>
            <w:r/>
          </w:p>
        </w:tc>
        <w:tc>
          <w:tcPr>
            <w:tcW w:w="1239" w:type="dxa"/>
            <w:vAlign w:val="center"/>
            <w:textDirection w:val="lrTb"/>
            <w:noWrap w:val="false"/>
          </w:tcPr>
          <w:p>
            <w:pPr>
              <w:pStyle w:val="651"/>
              <w:jc w:val="center"/>
              <w:rPr>
                <w:color w:val="000000"/>
                <w:sz w:val="24"/>
              </w:rPr>
            </w:pPr>
            <w:r>
              <w:rPr>
                <w:color w:val="000000"/>
                <w:sz w:val="24"/>
              </w:rPr>
            </w:r>
            <w:r/>
          </w:p>
        </w:tc>
      </w:tr>
    </w:tbl>
    <w:p>
      <w:pPr>
        <w:pStyle w:val="651"/>
        <w:jc w:val="left"/>
        <w:tabs>
          <w:tab w:val="left" w:pos="1800" w:leader="none"/>
          <w:tab w:val="left" w:pos="5580" w:leader="none"/>
        </w:tabs>
        <w:rPr>
          <w:color w:val="000000"/>
          <w:sz w:val="24"/>
        </w:rPr>
      </w:pPr>
      <w:r>
        <w:rPr>
          <w:color w:val="000000"/>
          <w:sz w:val="24"/>
        </w:rPr>
      </w:r>
      <w:r/>
    </w:p>
    <w:p>
      <w:pPr>
        <w:pStyle w:val="65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651"/>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651"/>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651"/>
        <w:spacing w:line="360" w:lineRule="auto"/>
        <w:rPr>
          <w:color w:val="000000"/>
          <w:sz w:val="24"/>
          <w:szCs w:val="20"/>
        </w:rPr>
      </w:pPr>
      <w:r>
        <w:rPr>
          <w:color w:val="000000"/>
          <w:sz w:val="24"/>
          <w:szCs w:val="20"/>
        </w:rPr>
      </w:r>
      <w:r/>
    </w:p>
    <w:p>
      <w:pPr>
        <w:pStyle w:val="65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5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5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51"/>
        <w:spacing w:line="360" w:lineRule="auto"/>
        <w:rPr>
          <w:rFonts w:hint="eastAsia"/>
          <w:b/>
          <w:color w:val="000000"/>
          <w:sz w:val="36"/>
          <w:szCs w:val="36"/>
        </w:rPr>
        <w:outlineLvl w:val="3"/>
      </w:pPr>
      <w:r>
        <w:rPr>
          <w:color w:val="000000"/>
          <w:sz w:val="24"/>
          <w:szCs w:val="20"/>
        </w:rPr>
        <w:br w:type="page" w:clear="all"/>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hint="eastAsia" w:ascii="Times New Roman" w:hAnsi="Times New Roman" w:eastAsia="宋体" w:cs="Times New Roman"/>
          <w:color w:val="000000"/>
          <w:sz w:val="24"/>
          <w:lang w:val="en-US" w:eastAsia="zh-CN"/>
        </w:rPr>
        <w:t xml:space="preserve">6</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采购需求偏离表（实质性格式）</w:t>
      </w:r>
      <w:r>
        <w:rPr>
          <w:rFonts w:hint="eastAsia"/>
          <w:b/>
          <w:color w:val="000000"/>
          <w:sz w:val="36"/>
          <w:szCs w:val="36"/>
        </w:rPr>
      </w:r>
      <w:r/>
    </w:p>
    <w:p>
      <w:pPr>
        <w:pStyle w:val="651"/>
        <w:jc w:val="center"/>
        <w:spacing w:line="360" w:lineRule="auto"/>
        <w:rPr>
          <w:rFonts w:eastAsia="宋体"/>
          <w:color w:val="000000"/>
          <w:sz w:val="24"/>
          <w:u w:val="single"/>
          <w:lang w:val="en-US" w:eastAsia="zh-CN"/>
        </w:rPr>
      </w:pPr>
      <w:r>
        <w:rPr>
          <w:rFonts w:hint="eastAsia"/>
          <w:b/>
          <w:color w:val="000000"/>
          <w:sz w:val="36"/>
          <w:szCs w:val="36"/>
        </w:rPr>
        <w:t xml:space="preserve">采购需求偏离表</w:t>
      </w:r>
      <w:r>
        <w:rPr>
          <w:rFonts w:eastAsia="宋体"/>
          <w:color w:val="000000"/>
          <w:sz w:val="24"/>
          <w:u w:val="singl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121"/>
        <w:gridCol w:w="1812"/>
        <w:gridCol w:w="1680"/>
        <w:gridCol w:w="2358"/>
        <w:gridCol w:w="906"/>
      </w:tblGrid>
      <w:tr>
        <w:trPr>
          <w:trHeight w:val="930"/>
        </w:trPr>
        <w:tc>
          <w:tcPr>
            <w:gridSpan w:val="6"/>
            <w:tcW w:w="9841" w:type="dxa"/>
            <w:vAlign w:val="center"/>
            <w:textDirection w:val="lrTb"/>
            <w:noWrap w:val="false"/>
          </w:tcPr>
          <w:p>
            <w:pPr>
              <w:pStyle w:val="651"/>
              <w:spacing w:line="400" w:lineRule="exact"/>
              <w:rPr>
                <w:rFonts w:ascii="宋体" w:hAnsi="宋体" w:eastAsia="宋体" w:cs="宋体"/>
                <w:sz w:val="24"/>
              </w:rPr>
            </w:pPr>
            <w:r>
              <w:rPr>
                <w:rFonts w:hint="eastAsia" w:ascii="宋体" w:hAnsi="宋体" w:eastAsia="宋体" w:cs="宋体"/>
                <w:sz w:val="24"/>
              </w:rPr>
              <w:t xml:space="preserve">对本项目采购需求条款的偏离情况（请进行勾选）：</w:t>
            </w:r>
            <w:r>
              <w:rPr>
                <w:rFonts w:ascii="宋体" w:hAnsi="宋体" w:eastAsia="宋体" w:cs="宋体"/>
                <w:sz w:val="24"/>
              </w:rPr>
            </w:r>
            <w:r/>
          </w:p>
          <w:p>
            <w:pPr>
              <w:pStyle w:val="651"/>
              <w:spacing w:line="400" w:lineRule="exact"/>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ascii="宋体" w:hAnsi="宋体" w:eastAsia="宋体" w:cs="宋体"/>
                <w:sz w:val="24"/>
              </w:rPr>
            </w:r>
            <w:r/>
          </w:p>
          <w:p>
            <w:pPr>
              <w:pStyle w:val="651"/>
              <w:spacing w:line="400" w:lineRule="exact"/>
              <w:rPr>
                <w:rFonts w:ascii="宋体" w:hAnsi="宋体" w:eastAsia="宋体" w:cs="宋体"/>
                <w:sz w:val="24"/>
              </w:rPr>
            </w:pPr>
            <w:r>
              <w:rPr>
                <w:rFonts w:hint="eastAsia" w:ascii="宋体" w:hAnsi="宋体" w:eastAsia="宋体" w:cs="宋体"/>
                <w:sz w:val="24"/>
              </w:rPr>
              <w:t xml:space="preserve">□有偏离（如有负偏离，则须在本表中对负偏离项逐一列明）</w:t>
            </w:r>
            <w:r>
              <w:rPr>
                <w:rFonts w:ascii="宋体" w:hAnsi="宋体" w:eastAsia="宋体" w:cs="宋体"/>
                <w:sz w:val="24"/>
              </w:rPr>
            </w:r>
            <w:r/>
          </w:p>
        </w:tc>
      </w:tr>
      <w:tr>
        <w:trPr>
          <w:trHeight w:val="930"/>
        </w:trPr>
        <w:tc>
          <w:tcPr>
            <w:tcW w:w="964" w:type="dxa"/>
            <w:vAlign w:val="center"/>
            <w:textDirection w:val="lrTb"/>
            <w:noWrap w:val="false"/>
          </w:tcPr>
          <w:p>
            <w:pPr>
              <w:pStyle w:val="651"/>
              <w:jc w:val="center"/>
              <w:spacing w:line="400" w:lineRule="exact"/>
              <w:rPr>
                <w:rFonts w:ascii="宋体" w:hAnsi="宋体" w:eastAsia="宋体" w:cs="宋体"/>
                <w:b/>
                <w:bCs/>
                <w:sz w:val="24"/>
              </w:rPr>
            </w:pPr>
            <w:r>
              <w:rPr>
                <w:rFonts w:hint="eastAsia" w:ascii="宋体" w:hAnsi="宋体" w:eastAsia="宋体" w:cs="宋体"/>
                <w:b/>
                <w:bCs/>
                <w:sz w:val="24"/>
              </w:rPr>
              <w:t xml:space="preserve">序号</w:t>
            </w:r>
            <w:r>
              <w:rPr>
                <w:rFonts w:ascii="宋体" w:hAnsi="宋体" w:eastAsia="宋体" w:cs="宋体"/>
                <w:b/>
                <w:bCs/>
                <w:sz w:val="24"/>
              </w:rPr>
            </w:r>
            <w:r/>
          </w:p>
        </w:tc>
        <w:tc>
          <w:tcPr>
            <w:tcW w:w="2121" w:type="dxa"/>
            <w:vAlign w:val="center"/>
            <w:textDirection w:val="lrTb"/>
            <w:noWrap w:val="false"/>
          </w:tcPr>
          <w:p>
            <w:pPr>
              <w:pStyle w:val="651"/>
              <w:jc w:val="center"/>
              <w:spacing w:line="400" w:lineRule="exact"/>
              <w:rPr>
                <w:rFonts w:ascii="宋体" w:hAnsi="宋体" w:eastAsia="宋体" w:cs="宋体"/>
                <w:b/>
                <w:bCs/>
                <w:sz w:val="24"/>
              </w:rPr>
            </w:pPr>
            <w:r>
              <w:rPr>
                <w:rFonts w:hint="eastAsia" w:ascii="宋体" w:hAnsi="宋体" w:eastAsia="宋体" w:cs="宋体"/>
                <w:b/>
                <w:bCs/>
                <w:sz w:val="24"/>
              </w:rPr>
              <w:t xml:space="preserve">招标文件条目号（页码）</w:t>
            </w:r>
            <w:r>
              <w:rPr>
                <w:rFonts w:ascii="宋体" w:hAnsi="宋体" w:eastAsia="宋体" w:cs="宋体"/>
                <w:b/>
                <w:bCs/>
                <w:sz w:val="24"/>
              </w:rPr>
            </w:r>
            <w:r/>
          </w:p>
        </w:tc>
        <w:tc>
          <w:tcPr>
            <w:tcW w:w="1812" w:type="dxa"/>
            <w:vAlign w:val="center"/>
            <w:textDirection w:val="lrTb"/>
            <w:noWrap w:val="false"/>
          </w:tcPr>
          <w:p>
            <w:pPr>
              <w:pStyle w:val="651"/>
              <w:jc w:val="center"/>
              <w:spacing w:line="400" w:lineRule="exact"/>
              <w:rPr>
                <w:rFonts w:ascii="宋体" w:hAnsi="宋体" w:eastAsia="宋体" w:cs="宋体"/>
                <w:b/>
                <w:bCs/>
                <w:sz w:val="24"/>
              </w:rPr>
            </w:pPr>
            <w:r>
              <w:rPr>
                <w:rFonts w:hint="eastAsia" w:ascii="宋体" w:hAnsi="宋体" w:eastAsia="宋体" w:cs="宋体"/>
                <w:b/>
                <w:bCs/>
                <w:sz w:val="24"/>
              </w:rPr>
              <w:t xml:space="preserve">招标文件要求</w:t>
            </w:r>
            <w:r>
              <w:rPr>
                <w:rFonts w:ascii="宋体" w:hAnsi="宋体" w:eastAsia="宋体" w:cs="宋体"/>
                <w:b/>
                <w:bCs/>
                <w:sz w:val="24"/>
              </w:rPr>
            </w:r>
            <w:r/>
          </w:p>
        </w:tc>
        <w:tc>
          <w:tcPr>
            <w:tcW w:w="1680" w:type="dxa"/>
            <w:vAlign w:val="center"/>
            <w:textDirection w:val="lrTb"/>
            <w:noWrap w:val="false"/>
          </w:tcPr>
          <w:p>
            <w:pPr>
              <w:pStyle w:val="651"/>
              <w:jc w:val="center"/>
              <w:spacing w:line="400" w:lineRule="exact"/>
              <w:rPr>
                <w:rFonts w:ascii="宋体" w:hAnsi="宋体" w:eastAsia="宋体" w:cs="宋体"/>
                <w:b/>
                <w:bCs/>
                <w:sz w:val="24"/>
              </w:rPr>
            </w:pPr>
            <w:r>
              <w:rPr>
                <w:rFonts w:hint="eastAsia" w:ascii="宋体" w:hAnsi="宋体" w:eastAsia="宋体" w:cs="宋体"/>
                <w:b/>
                <w:bCs/>
                <w:sz w:val="24"/>
              </w:rPr>
              <w:t xml:space="preserve">投标文件内容</w:t>
            </w:r>
            <w:r>
              <w:rPr>
                <w:rFonts w:ascii="宋体" w:hAnsi="宋体" w:eastAsia="宋体" w:cs="宋体"/>
                <w:b/>
                <w:bCs/>
                <w:sz w:val="24"/>
              </w:rPr>
            </w:r>
            <w:r/>
          </w:p>
        </w:tc>
        <w:tc>
          <w:tcPr>
            <w:tcW w:w="2358" w:type="dxa"/>
            <w:vAlign w:val="center"/>
            <w:textDirection w:val="lrTb"/>
            <w:noWrap w:val="false"/>
          </w:tcPr>
          <w:p>
            <w:pPr>
              <w:pStyle w:val="651"/>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偏离情况</w:t>
            </w:r>
            <w:r>
              <w:rPr>
                <w:rFonts w:hint="eastAsia" w:ascii="宋体" w:hAnsi="宋体" w:eastAsia="宋体" w:cs="宋体"/>
                <w:b/>
                <w:bCs/>
                <w:sz w:val="24"/>
              </w:rPr>
            </w:r>
            <w:r/>
          </w:p>
          <w:p>
            <w:pPr>
              <w:pStyle w:val="651"/>
              <w:jc w:val="center"/>
              <w:spacing w:line="400" w:lineRule="exact"/>
              <w:rPr>
                <w:rFonts w:ascii="宋体" w:hAnsi="宋体" w:eastAsia="宋体" w:cs="宋体"/>
                <w:b/>
                <w:bCs/>
                <w:sz w:val="24"/>
              </w:rPr>
            </w:pPr>
            <w:r>
              <w:rPr>
                <w:rFonts w:hint="eastAsia" w:ascii="宋体" w:hAnsi="宋体" w:eastAsia="宋体" w:cs="宋体"/>
                <w:b/>
                <w:bCs/>
                <w:sz w:val="24"/>
              </w:rPr>
              <w:t xml:space="preserve">（据实填写）</w:t>
            </w:r>
            <w:r>
              <w:rPr>
                <w:rFonts w:ascii="宋体" w:hAnsi="宋体" w:eastAsia="宋体" w:cs="宋体"/>
                <w:b/>
                <w:bCs/>
                <w:sz w:val="24"/>
              </w:rPr>
            </w:r>
            <w:r/>
          </w:p>
        </w:tc>
        <w:tc>
          <w:tcPr>
            <w:tcW w:w="906" w:type="dxa"/>
            <w:vAlign w:val="center"/>
            <w:textDirection w:val="lrTb"/>
            <w:noWrap w:val="false"/>
          </w:tcPr>
          <w:p>
            <w:pPr>
              <w:pStyle w:val="651"/>
              <w:jc w:val="center"/>
              <w:spacing w:line="400" w:lineRule="exact"/>
              <w:rPr>
                <w:rFonts w:ascii="宋体" w:hAnsi="宋体" w:eastAsia="宋体" w:cs="宋体"/>
                <w:b/>
                <w:bCs/>
                <w:sz w:val="24"/>
              </w:rPr>
            </w:pPr>
            <w:r>
              <w:rPr>
                <w:rFonts w:hint="eastAsia" w:ascii="宋体" w:hAnsi="宋体" w:eastAsia="宋体" w:cs="宋体"/>
                <w:b/>
                <w:bCs/>
                <w:sz w:val="24"/>
              </w:rPr>
              <w:t xml:space="preserve">说明</w:t>
            </w:r>
            <w:r>
              <w:rPr>
                <w:rFonts w:ascii="宋体" w:hAnsi="宋体" w:eastAsia="宋体" w:cs="宋体"/>
                <w:b/>
                <w:bCs/>
                <w:sz w:val="24"/>
              </w:rPr>
            </w:r>
            <w:r/>
          </w:p>
        </w:tc>
      </w:tr>
      <w:tr>
        <w:trPr>
          <w:trHeight w:val="930"/>
        </w:trPr>
        <w:tc>
          <w:tcPr>
            <w:tcW w:w="964"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64"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64"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64"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51"/>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651"/>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651"/>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 </w:t>
      </w:r>
      <w:r>
        <w:rPr>
          <w:rFonts w:ascii="Times New Roman" w:hAnsi="Times New Roman" w:eastAsia="宋体" w:cs="Times New Roman"/>
          <w:color w:val="000000"/>
          <w:sz w:val="24"/>
        </w:rPr>
      </w:r>
      <w:r/>
    </w:p>
    <w:p>
      <w:pPr>
        <w:pStyle w:val="651"/>
        <w:rPr>
          <w:color w:val="000000"/>
          <w:sz w:val="24"/>
          <w:szCs w:val="20"/>
        </w:rPr>
      </w:pPr>
      <w:r>
        <w:rPr>
          <w:color w:val="000000"/>
          <w:sz w:val="24"/>
          <w:szCs w:val="20"/>
        </w:rPr>
      </w:r>
      <w:r/>
    </w:p>
    <w:p>
      <w:pPr>
        <w:pStyle w:val="65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5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51"/>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日期：_____年______月______日   </w:t>
      </w:r>
      <w:r>
        <w:rPr>
          <w:color w:val="000000"/>
          <w:sz w:val="24"/>
          <w:szCs w:val="20"/>
        </w:rPr>
      </w:r>
      <w:r/>
    </w:p>
    <w:p>
      <w:pPr>
        <w:pStyle w:val="651"/>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7、实质性条款偏离表</w:t>
      </w:r>
      <w:r>
        <w:rPr>
          <w:rFonts w:hint="eastAsia" w:ascii="Times New Roman" w:hAnsi="Times New Roman" w:eastAsia="宋体" w:cs="Times New Roman"/>
          <w:color w:val="000000"/>
          <w:sz w:val="24"/>
          <w:lang w:val="en-US" w:eastAsia="zh-CN"/>
        </w:rPr>
      </w:r>
      <w:r/>
    </w:p>
    <w:p>
      <w:pPr>
        <w:pStyle w:val="651"/>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9711" w:type="dxa"/>
        <w:jc w:val="center"/>
        <w:tblInd w:w="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5696"/>
        <w:gridCol w:w="1230"/>
        <w:gridCol w:w="1143"/>
        <w:gridCol w:w="855"/>
      </w:tblGrid>
      <w:tr>
        <w:trPr>
          <w:trHeight w:val="631"/>
        </w:trPr>
        <w:tc>
          <w:tcPr>
            <w:tcW w:w="787" w:type="dxa"/>
            <w:vAlign w:val="center"/>
            <w:textDirection w:val="lrTb"/>
            <w:noWrap w:val="false"/>
          </w:tcPr>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7"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5696" w:type="dxa"/>
            <w:vAlign w:val="center"/>
            <w:textDirection w:val="lrTb"/>
            <w:noWrap w:val="false"/>
          </w:tcPr>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230" w:type="dxa"/>
            <w:vAlign w:val="center"/>
            <w:textDirection w:val="lrTb"/>
            <w:noWrap w:val="false"/>
          </w:tcPr>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rPr>
            </w:r>
            <w:r/>
          </w:p>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143" w:type="dxa"/>
            <w:vAlign w:val="center"/>
            <w:textDirection w:val="lrTb"/>
            <w:noWrap w:val="false"/>
          </w:tcPr>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55" w:type="dxa"/>
            <w:vAlign w:val="center"/>
            <w:textDirection w:val="lrTb"/>
            <w:noWrap w:val="false"/>
          </w:tcPr>
          <w:p>
            <w:pPr>
              <w:pStyle w:val="651"/>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588"/>
        </w:trPr>
        <w:tc>
          <w:tcPr>
            <w:tcW w:w="787" w:type="dxa"/>
            <w:vAlign w:val="center"/>
            <w:textDirection w:val="lrTb"/>
            <w:noWrap w:val="false"/>
          </w:tcPr>
          <w:p>
            <w:pPr>
              <w:pStyle w:val="651"/>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7"/>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5696" w:type="dxa"/>
            <w:vAlign w:val="center"/>
            <w:textDirection w:val="lrTb"/>
            <w:noWrap w:val="false"/>
          </w:tcPr>
          <w:p>
            <w:pPr>
              <w:pStyle w:val="651"/>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230" w:type="dxa"/>
            <w:vAlign w:val="center"/>
            <w:textDirection w:val="lrTb"/>
            <w:noWrap w:val="false"/>
          </w:tcPr>
          <w:p>
            <w:pPr>
              <w:pStyle w:val="651"/>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651"/>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651"/>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51"/>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65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51"/>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651"/>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651"/>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651"/>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651"/>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651"/>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651"/>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651"/>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651"/>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651"/>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651"/>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8、技术方案</w:t>
      </w:r>
      <w:r>
        <w:rPr>
          <w:rFonts w:hint="eastAsia" w:ascii="Times New Roman" w:hAnsi="Times New Roman" w:eastAsia="宋体" w:cs="Times New Roman"/>
          <w:color w:val="000000"/>
          <w:sz w:val="24"/>
          <w:lang w:val="en-US" w:eastAsia="zh-CN"/>
        </w:rPr>
      </w:r>
      <w:r/>
    </w:p>
    <w:p>
      <w:pPr>
        <w:pStyle w:val="651"/>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51"/>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51"/>
        <w:rPr>
          <w:rFonts w:hint="eastAsia" w:ascii="Times New Roman" w:hAnsi="Times New Roman" w:eastAsia="宋体" w:cs="Times New Roman"/>
          <w:color w:val="000000"/>
          <w:sz w:val="24"/>
          <w:szCs w:val="20"/>
          <w:highlight w:val="yellow"/>
          <w:lang w:val="en-US" w:eastAsia="zh-CN"/>
        </w:rPr>
      </w:pPr>
      <w:r>
        <w:rPr>
          <w:rFonts w:hint="eastAsia" w:ascii="Times New Roman" w:hAnsi="Times New Roman" w:eastAsia="宋体" w:cs="Times New Roman"/>
          <w:color w:val="000000"/>
          <w:sz w:val="24"/>
          <w:szCs w:val="20"/>
          <w:highlight w:val="yellow"/>
          <w:lang w:val="en-US" w:eastAsia="zh-CN"/>
        </w:rPr>
        <w:t xml:space="preserve">（</w:t>
      </w:r>
      <w:r>
        <w:rPr>
          <w:rFonts w:hint="eastAsia" w:ascii="Times New Roman" w:hAnsi="Times New Roman" w:eastAsia="宋体" w:cs="Times New Roman"/>
          <w:b/>
          <w:bCs/>
          <w:color w:val="000000"/>
          <w:sz w:val="24"/>
          <w:szCs w:val="20"/>
          <w:highlight w:val="yellow"/>
          <w:lang w:val="en-US" w:eastAsia="zh-CN"/>
        </w:rPr>
        <w:t xml:space="preserve">详见评分标准“主观分”，上传至</w:t>
      </w:r>
      <w:r>
        <w:rPr>
          <w:rFonts w:hint="eastAsia" w:ascii="Times New Roman" w:hAnsi="Times New Roman" w:eastAsia="宋体" w:cs="Times New Roman"/>
          <w:b/>
          <w:bCs/>
          <w:color w:val="000000"/>
          <w:sz w:val="24"/>
          <w:szCs w:val="20"/>
          <w:highlight w:val="yellow"/>
          <w:lang w:val="en-US" w:eastAsia="zh-CN"/>
        </w:rPr>
        <w:t xml:space="preserve">系统</w:t>
      </w:r>
      <w:r>
        <w:rPr>
          <w:rFonts w:hint="eastAsia" w:ascii="Times New Roman" w:hAnsi="Times New Roman" w:eastAsia="宋体" w:cs="Times New Roman"/>
          <w:b/>
          <w:bCs/>
          <w:color w:val="000000"/>
          <w:sz w:val="24"/>
          <w:szCs w:val="20"/>
          <w:highlight w:val="yellow"/>
          <w:lang w:val="en-US" w:eastAsia="zh-CN"/>
        </w:rPr>
        <w:t xml:space="preserve">指定位置</w:t>
      </w:r>
      <w:r>
        <w:rPr>
          <w:rFonts w:hint="eastAsia" w:ascii="Times New Roman" w:hAnsi="Times New Roman" w:eastAsia="宋体" w:cs="Times New Roman"/>
          <w:color w:val="000000"/>
          <w:sz w:val="24"/>
          <w:szCs w:val="20"/>
          <w:highlight w:val="yellow"/>
          <w:lang w:val="en-US" w:eastAsia="zh-CN"/>
        </w:rPr>
        <w:t xml:space="preserve">）</w:t>
      </w:r>
      <w:bookmarkStart w:id="908" w:name="_Toc288738397"/>
      <w:r/>
      <w:bookmarkStart w:id="909" w:name="_Toc288738839"/>
      <w:r>
        <w:rPr>
          <w:rFonts w:hint="eastAsia" w:ascii="Times New Roman" w:hAnsi="Times New Roman" w:eastAsia="宋体" w:cs="Times New Roman"/>
          <w:color w:val="000000"/>
          <w:sz w:val="24"/>
          <w:szCs w:val="20"/>
          <w:highlight w:val="yellow"/>
          <w:lang w:val="en-US" w:eastAsia="zh-CN"/>
        </w:rPr>
      </w:r>
      <w:r/>
    </w:p>
    <w:p>
      <w:pPr>
        <w:pStyle w:val="651"/>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51"/>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51"/>
        <w:rPr>
          <w:rFonts w:hint="eastAsia"/>
          <w:color w:val="000000"/>
          <w:sz w:val="24"/>
          <w:szCs w:val="20"/>
          <w:lang w:val="en-US" w:eastAsia="zh-CN"/>
        </w:rPr>
      </w:pPr>
      <w:r>
        <w:rPr>
          <w:rFonts w:hint="eastAsia"/>
          <w:color w:val="000000"/>
          <w:sz w:val="24"/>
          <w:szCs w:val="20"/>
          <w:lang w:val="en-US" w:eastAsia="zh-CN"/>
        </w:rPr>
      </w:r>
      <w:r/>
    </w:p>
    <w:p>
      <w:pPr>
        <w:pStyle w:val="651"/>
        <w:rPr>
          <w:rFonts w:hint="eastAsia"/>
          <w:color w:val="000000"/>
          <w:sz w:val="24"/>
          <w:szCs w:val="20"/>
          <w:lang w:val="en-US" w:eastAsia="zh-CN"/>
        </w:rPr>
      </w:pPr>
      <w:r>
        <w:rPr>
          <w:rFonts w:hint="eastAsia"/>
          <w:color w:val="000000"/>
          <w:sz w:val="24"/>
          <w:szCs w:val="20"/>
          <w:lang w:val="en-US" w:eastAsia="zh-CN"/>
        </w:rPr>
      </w:r>
      <w:r/>
    </w:p>
    <w:p>
      <w:pPr>
        <w:pStyle w:val="651"/>
        <w:rPr>
          <w:rFonts w:hint="eastAsia"/>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color w:val="000000"/>
          <w:sz w:val="24"/>
          <w:szCs w:val="20"/>
          <w:lang w:val="en-US" w:eastAsia="zh-CN"/>
        </w:rPr>
      </w:r>
      <w:r/>
    </w:p>
    <w:p>
      <w:pPr>
        <w:pStyle w:val="651"/>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9、相关业绩案例一览表</w:t>
      </w:r>
      <w:r>
        <w:rPr>
          <w:rFonts w:hint="eastAsia" w:ascii="Times New Roman" w:hAnsi="Times New Roman" w:eastAsia="宋体" w:cs="Times New Roman"/>
          <w:color w:val="000000"/>
          <w:sz w:val="24"/>
          <w:lang w:val="en-US" w:eastAsia="zh-CN"/>
        </w:rPr>
      </w:r>
      <w:r/>
    </w:p>
    <w:p>
      <w:pPr>
        <w:pStyle w:val="651"/>
        <w:rPr>
          <w:color w:val="000000"/>
          <w:sz w:val="24"/>
          <w:szCs w:val="20"/>
        </w:rPr>
      </w:pPr>
      <w:r>
        <w:rPr>
          <w:color w:val="000000"/>
          <w:sz w:val="24"/>
          <w:szCs w:val="20"/>
        </w:rPr>
      </w:r>
      <w:r/>
    </w:p>
    <w:p>
      <w:pPr>
        <w:pStyle w:val="651"/>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651"/>
        <w:jc w:val="center"/>
        <w:spacing w:line="360" w:lineRule="auto"/>
        <w:rPr>
          <w:rFonts w:ascii="宋体" w:hAnsi="宋体"/>
          <w:b/>
          <w:sz w:val="28"/>
          <w:szCs w:val="30"/>
        </w:rPr>
      </w:pPr>
      <w:r>
        <w:rPr>
          <w:rFonts w:ascii="宋体" w:hAnsi="宋体"/>
          <w:b/>
          <w:sz w:val="28"/>
          <w:szCs w:val="30"/>
        </w:rPr>
      </w:r>
      <w:r/>
    </w:p>
    <w:tbl>
      <w:tblPr>
        <w:tblW w:w="10293"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805"/>
        <w:gridCol w:w="1815"/>
        <w:gridCol w:w="1830"/>
        <w:gridCol w:w="1665"/>
        <w:gridCol w:w="1470"/>
        <w:gridCol w:w="1544"/>
        <w:gridCol w:w="1164"/>
      </w:tblGrid>
      <w:tr>
        <w:trPr>
          <w:trHeight w:val="573"/>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651"/>
              <w:jc w:val="center"/>
              <w:spacing w:line="240" w:lineRule="auto"/>
              <w:tabs>
                <w:tab w:val="left" w:pos="9765" w:leader="none"/>
              </w:tabs>
              <w:rPr>
                <w:rFonts w:ascii="宋体" w:hAnsi="宋体" w:cs="宋体"/>
                <w:b/>
                <w:bCs/>
                <w:sz w:val="24"/>
                <w:szCs w:val="24"/>
                <w:u w:val="none"/>
                <w:lang w:val="en-US" w:eastAsia="zh-CN" w:bidi="ar-SA"/>
              </w:rPr>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65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w:t>
            </w:r>
            <w:r>
              <w:rPr>
                <w:rFonts w:hint="eastAsia" w:ascii="宋体" w:hAnsi="宋体" w:cs="宋体"/>
                <w:b/>
                <w:bCs/>
                <w:sz w:val="24"/>
                <w:u w:val="none"/>
                <w:lang w:val="en-US" w:eastAsia="zh-CN"/>
              </w:rPr>
              <w:t xml:space="preserve">签订</w:t>
            </w:r>
            <w:r>
              <w:rPr>
                <w:rFonts w:hint="eastAsia" w:ascii="宋体" w:hAnsi="宋体" w:cs="宋体"/>
                <w:b/>
                <w:bCs/>
                <w:sz w:val="24"/>
                <w:u w:val="none"/>
                <w:lang w:val="zh-CN"/>
              </w:rPr>
              <w:t xml:space="preserve">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65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65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65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65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651"/>
              <w:jc w:val="center"/>
              <w:spacing w:line="240" w:lineRule="auto"/>
              <w:tabs>
                <w:tab w:val="left" w:pos="9765" w:leader="none"/>
              </w:tabs>
              <w:rPr>
                <w:rFonts w:hint="eastAsia" w:ascii="宋体" w:hAnsi="宋体" w:eastAsia="宋体" w:cs="宋体"/>
                <w:b/>
                <w:bCs/>
                <w:sz w:val="24"/>
                <w:u w:val="none"/>
                <w:lang w:val="en-US" w:eastAsia="zh-CN"/>
              </w:rPr>
            </w:pPr>
            <w:r>
              <w:rPr>
                <w:rFonts w:hint="eastAsia" w:ascii="宋体" w:hAnsi="宋体" w:cs="宋体"/>
                <w:b/>
                <w:bCs/>
                <w:sz w:val="24"/>
                <w:u w:val="none"/>
                <w:lang w:val="en-US" w:eastAsia="zh-CN"/>
              </w:rPr>
              <w:t xml:space="preserve">备注</w:t>
            </w:r>
            <w:r>
              <w:rPr>
                <w:rFonts w:hint="eastAsia" w:ascii="宋体" w:hAnsi="宋体" w:eastAsia="宋体" w:cs="宋体"/>
                <w:b/>
                <w:bCs/>
                <w:sz w:val="24"/>
                <w:u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651"/>
              <w:jc w:val="center"/>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6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6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6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6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65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65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5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51"/>
              <w:spacing w:line="360" w:lineRule="auto"/>
              <w:tabs>
                <w:tab w:val="left" w:pos="9765" w:leader="none"/>
              </w:tabs>
              <w:rPr>
                <w:rFonts w:ascii="宋体" w:hAnsi="宋体" w:cs="宋体"/>
                <w:sz w:val="24"/>
              </w:rPr>
            </w:pPr>
            <w:r>
              <w:rPr>
                <w:rFonts w:ascii="宋体" w:hAnsi="宋体" w:cs="宋体"/>
                <w:sz w:val="24"/>
              </w:rPr>
            </w:r>
            <w:r/>
          </w:p>
        </w:tc>
      </w:tr>
    </w:tbl>
    <w:p>
      <w:pPr>
        <w:pStyle w:val="651"/>
        <w:ind w:firstLine="240"/>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651"/>
        <w:tabs>
          <w:tab w:val="left" w:pos="9765" w:leader="none"/>
        </w:tabs>
        <w:rPr>
          <w:rFonts w:ascii="宋体" w:hAnsi="宋体" w:cs="宋体"/>
          <w:b/>
          <w:bCs/>
          <w:sz w:val="24"/>
          <w:lang w:val="zh-CN"/>
        </w:rPr>
      </w:pPr>
      <w:r>
        <w:rPr>
          <w:rFonts w:hint="eastAsia" w:ascii="宋体" w:hAnsi="宋体" w:eastAsia="宋体" w:cs="Times New Roman"/>
          <w:b/>
          <w:bCs/>
          <w:sz w:val="24"/>
          <w:szCs w:val="24"/>
          <w:lang w:val="zh-CN"/>
        </w:rPr>
        <w:t xml:space="preserve">注：</w:t>
      </w:r>
      <w:r>
        <w:rPr>
          <w:rFonts w:hint="eastAsia" w:ascii="宋体" w:hAnsi="宋体" w:eastAsia="宋体" w:cs="Times New Roman"/>
          <w:b/>
          <w:bCs/>
          <w:sz w:val="24"/>
          <w:szCs w:val="24"/>
          <w:lang w:val="en-US" w:eastAsia="zh-CN"/>
        </w:rPr>
        <w:t xml:space="preserve">根据招标文件要求提供相关证明材料。</w:t>
      </w:r>
      <w:r>
        <w:rPr>
          <w:rFonts w:ascii="宋体" w:hAnsi="宋体" w:cs="宋体"/>
          <w:b/>
          <w:bCs/>
          <w:sz w:val="24"/>
          <w:lang w:val="zh-CN"/>
        </w:rPr>
      </w:r>
      <w:r/>
    </w:p>
    <w:p>
      <w:pPr>
        <w:pStyle w:val="651"/>
        <w:spacing w:line="360" w:lineRule="auto"/>
        <w:rPr>
          <w:rFonts w:ascii="宋体" w:hAnsi="宋体" w:cs="宋体"/>
          <w:sz w:val="24"/>
        </w:rPr>
      </w:pPr>
      <w:r>
        <w:rPr>
          <w:rFonts w:ascii="宋体" w:hAnsi="宋体" w:cs="宋体"/>
          <w:sz w:val="24"/>
        </w:rPr>
      </w:r>
      <w:r/>
    </w:p>
    <w:p>
      <w:pPr>
        <w:pStyle w:val="65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5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51"/>
      </w:pPr>
      <w:r/>
      <w:r/>
    </w:p>
    <w:p>
      <w:pPr>
        <w:pStyle w:val="651"/>
      </w:pPr>
      <w:r/>
      <w:r/>
    </w:p>
    <w:p>
      <w:pPr>
        <w:pStyle w:val="651"/>
      </w:pPr>
      <w:r/>
      <w:r/>
    </w:p>
    <w:p>
      <w:pPr>
        <w:pStyle w:val="651"/>
      </w:pPr>
      <w:r/>
      <w:r/>
    </w:p>
    <w:p>
      <w:pPr>
        <w:pStyle w:val="651"/>
      </w:pPr>
      <w:r/>
      <w:r/>
    </w:p>
    <w:p>
      <w:pPr>
        <w:pStyle w:val="651"/>
        <w:spacing w:line="360" w:lineRule="auto"/>
        <w:rPr>
          <w:rFonts w:hint="eastAsia"/>
          <w:color w:val="000000"/>
          <w:sz w:val="24"/>
          <w:szCs w:val="20"/>
        </w:rPr>
        <w:outlineLvl w:val="2"/>
      </w:pPr>
      <w:r>
        <w:rPr>
          <w:rFonts w:hint="eastAsia"/>
          <w:color w:val="000000"/>
          <w:sz w:val="24"/>
          <w:szCs w:val="20"/>
        </w:rPr>
      </w:r>
      <w:r/>
    </w:p>
    <w:p>
      <w:pPr>
        <w:pStyle w:val="651"/>
        <w:spacing w:line="360" w:lineRule="auto"/>
        <w:rPr>
          <w:rFonts w:hint="eastAsia"/>
          <w:color w:val="000000"/>
          <w:sz w:val="24"/>
          <w:szCs w:val="20"/>
        </w:rPr>
        <w:outlineLvl w:val="2"/>
      </w:pPr>
      <w:r>
        <w:rPr>
          <w:rFonts w:hint="eastAsia"/>
          <w:color w:val="000000"/>
          <w:sz w:val="24"/>
          <w:szCs w:val="20"/>
        </w:rPr>
      </w:r>
      <w:r/>
    </w:p>
    <w:p>
      <w:pPr>
        <w:pStyle w:val="651"/>
        <w:spacing w:line="360" w:lineRule="auto"/>
        <w:rPr>
          <w:rFonts w:hint="eastAsia"/>
          <w:color w:val="000000"/>
          <w:sz w:val="24"/>
          <w:szCs w:val="20"/>
        </w:rPr>
        <w:outlineLvl w:val="2"/>
      </w:pPr>
      <w:r>
        <w:rPr>
          <w:rFonts w:hint="eastAsia"/>
          <w:color w:val="000000"/>
          <w:sz w:val="24"/>
          <w:szCs w:val="20"/>
        </w:rPr>
      </w:r>
      <w:r/>
    </w:p>
    <w:p>
      <w:pPr>
        <w:pStyle w:val="651"/>
        <w:spacing w:line="360" w:lineRule="auto"/>
        <w:rPr>
          <w:rFonts w:hint="eastAsia"/>
          <w:color w:val="000000"/>
          <w:sz w:val="24"/>
          <w:szCs w:val="20"/>
        </w:rPr>
        <w:outlineLvl w:val="2"/>
      </w:pPr>
      <w:r>
        <w:rPr>
          <w:rFonts w:hint="eastAsia"/>
          <w:color w:val="000000"/>
          <w:sz w:val="24"/>
          <w:szCs w:val="20"/>
        </w:rPr>
      </w:r>
      <w:r/>
    </w:p>
    <w:p>
      <w:pPr>
        <w:pStyle w:val="651"/>
        <w:spacing w:line="360" w:lineRule="auto"/>
        <w:rPr>
          <w:rFonts w:hint="eastAsia"/>
          <w:color w:val="000000"/>
          <w:sz w:val="24"/>
          <w:szCs w:val="20"/>
        </w:rPr>
        <w:outlineLvl w:val="2"/>
      </w:pPr>
      <w:r>
        <w:rPr>
          <w:rFonts w:hint="eastAsia"/>
          <w:color w:val="000000"/>
          <w:sz w:val="24"/>
          <w:szCs w:val="20"/>
        </w:rPr>
      </w:r>
      <w:r/>
    </w:p>
    <w:p>
      <w:pPr>
        <w:pStyle w:val="651"/>
        <w:ind w:right="482"/>
        <w:jc w:val="left"/>
        <w:rPr>
          <w:rFonts w:hint="eastAsia" w:ascii="宋体" w:hAnsi="宋体" w:eastAsia="宋体" w:cs="宋体"/>
          <w:b w:val="0"/>
          <w:bCs/>
          <w:szCs w:val="21"/>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0"/>
      </w:pPr>
      <w:r>
        <w:rPr>
          <w:rFonts w:hint="eastAsia" w:ascii="宋体" w:hAnsi="宋体" w:eastAsia="宋体" w:cs="宋体"/>
          <w:b w:val="0"/>
          <w:bCs/>
          <w:szCs w:val="21"/>
          <w:lang w:val="en-US" w:eastAsia="zh-CN"/>
        </w:rPr>
      </w:r>
      <w:r/>
    </w:p>
    <w:p>
      <w:pPr>
        <w:pStyle w:val="651"/>
        <w:spacing w:line="360" w:lineRule="auto"/>
        <w:rPr>
          <w:rFonts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10、拟投入本项目小组成员一览表</w:t>
      </w:r>
      <w:r>
        <w:rPr>
          <w:rFonts w:ascii="Times New Roman" w:hAnsi="Times New Roman" w:eastAsia="宋体" w:cs="Times New Roman"/>
          <w:color w:val="000000"/>
          <w:sz w:val="24"/>
          <w:lang w:val="en-US" w:eastAsia="zh-CN"/>
        </w:rPr>
      </w:r>
      <w:r/>
    </w:p>
    <w:p>
      <w:pPr>
        <w:pStyle w:val="651"/>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651"/>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w:t>
      </w:r>
      <w:r>
        <w:rPr>
          <w:rFonts w:hint="eastAsia" w:ascii="宋体" w:hAnsi="宋体" w:eastAsia="宋体" w:cs="Times New Roman"/>
          <w:b/>
          <w:sz w:val="36"/>
          <w:szCs w:val="36"/>
        </w:rPr>
        <w:t xml:space="preserve">本项目小组成员一览</w:t>
      </w:r>
      <w:r>
        <w:rPr>
          <w:rFonts w:hint="eastAsia" w:ascii="宋体" w:hAnsi="宋体" w:eastAsia="宋体" w:cs="Times New Roman"/>
          <w:b/>
          <w:sz w:val="36"/>
          <w:szCs w:val="36"/>
          <w:lang w:val="en-US" w:eastAsia="zh-CN"/>
        </w:rPr>
        <w:t xml:space="preserve">表</w:t>
      </w:r>
      <w:r>
        <w:rPr>
          <w:rFonts w:hint="eastAsia" w:ascii="宋体" w:hAnsi="宋体" w:eastAsia="宋体" w:cs="Times New Roman"/>
          <w:b/>
          <w:sz w:val="36"/>
          <w:szCs w:val="36"/>
          <w:lang w:val="en-US" w:eastAsia="zh-CN"/>
        </w:rPr>
      </w:r>
      <w:r/>
    </w:p>
    <w:p>
      <w:pPr>
        <w:pStyle w:val="651"/>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74" w:type="dxa"/>
        <w:jc w:val="center"/>
        <w:tblInd w:w="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1581"/>
        <w:gridCol w:w="978"/>
        <w:gridCol w:w="1830"/>
        <w:gridCol w:w="1778"/>
        <w:gridCol w:w="1579"/>
        <w:gridCol w:w="1239"/>
      </w:tblGrid>
      <w:tr>
        <w:trPr>
          <w:trHeight w:val="657"/>
        </w:trPr>
        <w:tc>
          <w:tcPr>
            <w:tcW w:w="789" w:type="dxa"/>
            <w:vAlign w:val="center"/>
            <w:textDirection w:val="lrTb"/>
            <w:noWrap w:val="false"/>
          </w:tcPr>
          <w:p>
            <w:pPr>
              <w:pStyle w:val="65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581" w:type="dxa"/>
            <w:vAlign w:val="center"/>
            <w:textDirection w:val="lrTb"/>
            <w:noWrap w:val="false"/>
          </w:tcPr>
          <w:p>
            <w:pPr>
              <w:pStyle w:val="65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978" w:type="dxa"/>
            <w:vAlign w:val="center"/>
            <w:textDirection w:val="lrTb"/>
            <w:noWrap w:val="false"/>
          </w:tcPr>
          <w:p>
            <w:pPr>
              <w:pStyle w:val="65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830" w:type="dxa"/>
            <w:vAlign w:val="center"/>
            <w:textDirection w:val="lrTb"/>
            <w:noWrap w:val="false"/>
          </w:tcPr>
          <w:p>
            <w:pPr>
              <w:pStyle w:val="651"/>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电话</w:t>
            </w:r>
            <w:r>
              <w:rPr>
                <w:rFonts w:ascii="宋体" w:hAnsi="宋体" w:eastAsia="宋体" w:cs="宋体"/>
                <w:b/>
                <w:bCs/>
                <w:sz w:val="24"/>
                <w:szCs w:val="24"/>
                <w:lang w:val="en-US" w:eastAsia="zh-CN"/>
              </w:rPr>
            </w:r>
            <w:r/>
          </w:p>
        </w:tc>
        <w:tc>
          <w:tcPr>
            <w:tcW w:w="1778" w:type="dxa"/>
            <w:vAlign w:val="center"/>
            <w:textDirection w:val="lrTb"/>
            <w:noWrap w:val="false"/>
          </w:tcPr>
          <w:p>
            <w:pPr>
              <w:pStyle w:val="651"/>
              <w:jc w:val="center"/>
              <w:spacing w:line="240" w:lineRule="auto"/>
              <w:tabs>
                <w:tab w:val="left" w:pos="9765"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证书</w:t>
            </w:r>
            <w:r>
              <w:rPr>
                <w:rFonts w:hint="eastAsia" w:ascii="宋体" w:hAnsi="宋体" w:eastAsia="宋体" w:cs="宋体"/>
                <w:b/>
                <w:bCs/>
                <w:sz w:val="24"/>
                <w:szCs w:val="24"/>
                <w:lang w:eastAsia="zh-CN"/>
              </w:rPr>
            </w:r>
            <w:r/>
          </w:p>
        </w:tc>
        <w:tc>
          <w:tcPr>
            <w:tcW w:w="1579" w:type="dxa"/>
            <w:vAlign w:val="center"/>
            <w:textDirection w:val="lrTb"/>
            <w:noWrap w:val="false"/>
          </w:tcPr>
          <w:p>
            <w:pPr>
              <w:pStyle w:val="651"/>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岗位职责</w:t>
            </w:r>
            <w:r>
              <w:rPr>
                <w:rFonts w:ascii="宋体" w:hAnsi="宋体" w:eastAsia="宋体" w:cs="宋体"/>
                <w:b/>
                <w:bCs/>
                <w:sz w:val="24"/>
                <w:szCs w:val="24"/>
                <w:lang w:val="en-US" w:eastAsia="zh-CN"/>
              </w:rPr>
            </w:r>
            <w:r/>
          </w:p>
        </w:tc>
        <w:tc>
          <w:tcPr>
            <w:tcW w:w="1239" w:type="dxa"/>
            <w:vAlign w:val="center"/>
            <w:textDirection w:val="lrTb"/>
            <w:noWrap w:val="false"/>
          </w:tcPr>
          <w:p>
            <w:pPr>
              <w:pStyle w:val="651"/>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trHeight w:val="442"/>
        </w:trPr>
        <w:tc>
          <w:tcPr>
            <w:tcW w:w="78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78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78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78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78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78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5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651"/>
        <w:spacing w:line="360" w:lineRule="auto"/>
        <w:tabs>
          <w:tab w:val="left" w:pos="9765" w:leader="none"/>
        </w:tabs>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651"/>
        <w:spacing w:line="360" w:lineRule="auto"/>
        <w:tabs>
          <w:tab w:val="left" w:pos="9765" w:leader="none"/>
        </w:tabs>
        <w:rPr>
          <w:rFonts w:ascii="Times New Roman" w:hAnsi="Times New Roman" w:eastAsia="宋体" w:cs="Times New Roman"/>
          <w:b/>
          <w:bCs/>
          <w:color w:val="000000"/>
          <w:u w:val="none"/>
          <w:lang w:val="en-US" w:eastAsia="zh-CN"/>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b/>
          <w:bCs/>
          <w:color w:val="000000"/>
          <w:u w:val="none"/>
          <w:lang w:val="en-US" w:eastAsia="zh-CN"/>
        </w:rPr>
      </w:r>
      <w:r/>
    </w:p>
    <w:p>
      <w:pPr>
        <w:pStyle w:val="651"/>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651"/>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65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51"/>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651"/>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11、承诺函</w:t>
      </w:r>
      <w:r>
        <w:rPr>
          <w:rFonts w:hint="eastAsia" w:ascii="Times New Roman" w:hAnsi="Times New Roman" w:eastAsia="宋体" w:cs="Times New Roman"/>
          <w:color w:val="000000"/>
          <w:sz w:val="24"/>
          <w:lang w:val="en-US" w:eastAsia="zh-CN"/>
        </w:rPr>
      </w:r>
      <w:r/>
    </w:p>
    <w:p>
      <w:pPr>
        <w:pStyle w:val="651"/>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承诺</w:t>
      </w:r>
      <w:r>
        <w:rPr>
          <w:rFonts w:hint="eastAsia" w:ascii="Times New Roman" w:hAnsi="Times New Roman" w:eastAsia="宋体" w:cs="Times New Roman"/>
          <w:b/>
          <w:color w:val="000000"/>
          <w:sz w:val="36"/>
          <w:szCs w:val="36"/>
          <w:lang w:val="en-US" w:eastAsia="zh-CN"/>
        </w:rPr>
        <w:t xml:space="preserve">函</w:t>
      </w:r>
      <w:r>
        <w:rPr>
          <w:rFonts w:hint="eastAsia" w:ascii="Times New Roman" w:hAnsi="Times New Roman" w:eastAsia="宋体" w:cs="Times New Roman"/>
          <w:b/>
          <w:color w:val="000000"/>
          <w:sz w:val="36"/>
          <w:szCs w:val="36"/>
        </w:rPr>
      </w:r>
      <w:r/>
    </w:p>
    <w:p>
      <w:pPr>
        <w:pStyle w:val="65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51"/>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  （自拟）</w:t>
      </w:r>
      <w:r>
        <w:rPr>
          <w:rFonts w:hint="eastAsia" w:ascii="Times New Roman" w:hAnsi="Times New Roman" w:eastAsia="宋体" w:cs="Times New Roman"/>
          <w:color w:val="000000"/>
          <w:sz w:val="24"/>
          <w:szCs w:val="20"/>
          <w:lang w:val="en-US" w:eastAsia="zh-CN"/>
        </w:rPr>
      </w:r>
      <w:r/>
    </w:p>
    <w:p>
      <w:pPr>
        <w:pStyle w:val="651"/>
        <w:spacing w:line="360" w:lineRule="auto"/>
        <w:rPr>
          <w:rFonts w:ascii="Times New Roman" w:hAnsi="Times New Roman" w:eastAsia="宋体" w:cs="Times New Roman"/>
          <w:color w:val="000000"/>
          <w:sz w:val="24"/>
          <w:szCs w:val="20"/>
          <w:lang w:val="en-US" w:eastAsia="zh-CN"/>
        </w:rPr>
        <w:outlineLvl w:val="2"/>
      </w:pPr>
      <w:r>
        <w:rPr>
          <w:rFonts w:ascii="Times New Roman" w:hAnsi="Times New Roman" w:eastAsia="宋体" w:cs="Times New Roman"/>
          <w:color w:val="000000"/>
          <w:sz w:val="24"/>
          <w:szCs w:val="20"/>
          <w:lang w:val="en-US" w:eastAsia="zh-CN"/>
        </w:rPr>
      </w:r>
      <w:r/>
    </w:p>
    <w:p>
      <w:pPr>
        <w:pStyle w:val="65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5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5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5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51"/>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651"/>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651"/>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12招标文件要求提供或投标人认为应附的其他材料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1"/>
        <w:ind w:left="4941" w:hanging="1140"/>
        <w:tabs>
          <w:tab w:val="num" w:pos="4941" w:leader="none"/>
        </w:tabs>
      </w:pPr>
      <w:rPr>
        <w:rFonts w:hint="eastAsia"/>
      </w:rPr>
    </w:lvl>
    <w:lvl w:ilvl="1">
      <w:start w:val="1"/>
      <w:numFmt w:val="lowerLetter"/>
      <w:isLgl w:val="false"/>
      <w:suff w:val="tab"/>
      <w:lvlText w:val="%2)"/>
      <w:lvlJc w:val="left"/>
      <w:pPr>
        <w:pStyle w:val="651"/>
        <w:ind w:left="4641" w:hanging="420"/>
        <w:tabs>
          <w:tab w:val="num" w:pos="4641" w:leader="none"/>
        </w:tabs>
      </w:pPr>
    </w:lvl>
    <w:lvl w:ilvl="2">
      <w:start w:val="1"/>
      <w:numFmt w:val="lowerRoman"/>
      <w:isLgl w:val="false"/>
      <w:suff w:val="tab"/>
      <w:lvlText w:val="%3."/>
      <w:lvlJc w:val="right"/>
      <w:pPr>
        <w:pStyle w:val="651"/>
        <w:ind w:left="5061" w:hanging="420"/>
        <w:tabs>
          <w:tab w:val="num" w:pos="5061" w:leader="none"/>
        </w:tabs>
      </w:pPr>
    </w:lvl>
    <w:lvl w:ilvl="3">
      <w:start w:val="1"/>
      <w:numFmt w:val="decimal"/>
      <w:isLgl w:val="false"/>
      <w:suff w:val="tab"/>
      <w:lvlText w:val="%4."/>
      <w:lvlJc w:val="left"/>
      <w:pPr>
        <w:pStyle w:val="651"/>
        <w:ind w:left="5481" w:hanging="420"/>
        <w:tabs>
          <w:tab w:val="num" w:pos="5481" w:leader="none"/>
        </w:tabs>
      </w:pPr>
    </w:lvl>
    <w:lvl w:ilvl="4">
      <w:start w:val="1"/>
      <w:numFmt w:val="lowerLetter"/>
      <w:isLgl w:val="false"/>
      <w:suff w:val="tab"/>
      <w:lvlText w:val="%5)"/>
      <w:lvlJc w:val="left"/>
      <w:pPr>
        <w:pStyle w:val="651"/>
        <w:ind w:left="5901" w:hanging="420"/>
        <w:tabs>
          <w:tab w:val="num" w:pos="5901" w:leader="none"/>
        </w:tabs>
      </w:pPr>
    </w:lvl>
    <w:lvl w:ilvl="5">
      <w:start w:val="1"/>
      <w:numFmt w:val="lowerRoman"/>
      <w:isLgl w:val="false"/>
      <w:suff w:val="tab"/>
      <w:lvlText w:val="%6."/>
      <w:lvlJc w:val="right"/>
      <w:pPr>
        <w:pStyle w:val="651"/>
        <w:ind w:left="6321" w:hanging="420"/>
        <w:tabs>
          <w:tab w:val="num" w:pos="6321" w:leader="none"/>
        </w:tabs>
      </w:pPr>
    </w:lvl>
    <w:lvl w:ilvl="6">
      <w:start w:val="1"/>
      <w:numFmt w:val="decimal"/>
      <w:isLgl w:val="false"/>
      <w:suff w:val="tab"/>
      <w:lvlText w:val="%7."/>
      <w:lvlJc w:val="left"/>
      <w:pPr>
        <w:pStyle w:val="651"/>
        <w:ind w:left="6741" w:hanging="420"/>
        <w:tabs>
          <w:tab w:val="num" w:pos="6741" w:leader="none"/>
        </w:tabs>
      </w:pPr>
    </w:lvl>
    <w:lvl w:ilvl="7">
      <w:start w:val="1"/>
      <w:numFmt w:val="lowerLetter"/>
      <w:isLgl w:val="false"/>
      <w:suff w:val="tab"/>
      <w:lvlText w:val="%8)"/>
      <w:lvlJc w:val="left"/>
      <w:pPr>
        <w:pStyle w:val="651"/>
        <w:ind w:left="7161" w:hanging="420"/>
        <w:tabs>
          <w:tab w:val="num" w:pos="7161" w:leader="none"/>
        </w:tabs>
      </w:pPr>
    </w:lvl>
    <w:lvl w:ilvl="8">
      <w:start w:val="1"/>
      <w:numFmt w:val="lowerRoman"/>
      <w:isLgl w:val="false"/>
      <w:suff w:val="tab"/>
      <w:lvlText w:val="%9."/>
      <w:lvlJc w:val="right"/>
      <w:pPr>
        <w:pStyle w:val="651"/>
        <w:ind w:left="7581" w:hanging="420"/>
        <w:tabs>
          <w:tab w:val="num" w:pos="7581" w:leader="none"/>
        </w:tabs>
      </w:pPr>
    </w:lvl>
  </w:abstractNum>
  <w:abstractNum w:abstractNumId="2">
    <w:multiLevelType w:val="hybridMultilevel"/>
    <w:lvl w:ilvl="0">
      <w:start w:val="1"/>
      <w:numFmt w:val="decimal"/>
      <w:pStyle w:val="766"/>
      <w:isLgl w:val="false"/>
      <w:suff w:val="tab"/>
      <w:lvlText w:val="%1."/>
      <w:lvlJc w:val="left"/>
      <w:pPr>
        <w:pStyle w:val="651"/>
        <w:ind w:left="420" w:hanging="420"/>
      </w:pPr>
    </w:lvl>
    <w:lvl w:ilvl="1">
      <w:start w:val="1"/>
      <w:numFmt w:val="decimal"/>
      <w:isLgl w:val="false"/>
      <w:suff w:val="tab"/>
      <w:lvlText w:val="（%2）"/>
      <w:lvlJc w:val="left"/>
      <w:pPr>
        <w:pStyle w:val="651"/>
        <w:ind w:left="1140" w:hanging="720"/>
        <w:tabs>
          <w:tab w:val="num" w:pos="1140" w:leader="none"/>
        </w:tabs>
      </w:pPr>
      <w:rPr>
        <w:rFonts w:hint="eastAsia"/>
      </w:rPr>
    </w:lvl>
    <w:lvl w:ilvl="2">
      <w:start w:val="1"/>
      <w:numFmt w:val="lowerRoman"/>
      <w:isLgl w:val="false"/>
      <w:suff w:val="tab"/>
      <w:lvlText w:val="%3."/>
      <w:lvlJc w:val="right"/>
      <w:pPr>
        <w:pStyle w:val="651"/>
        <w:ind w:left="1260" w:hanging="420"/>
      </w:pPr>
    </w:lvl>
    <w:lvl w:ilvl="3">
      <w:start w:val="1"/>
      <w:numFmt w:val="decimal"/>
      <w:isLgl w:val="false"/>
      <w:suff w:val="tab"/>
      <w:lvlText w:val="%4."/>
      <w:lvlJc w:val="left"/>
      <w:pPr>
        <w:pStyle w:val="651"/>
        <w:ind w:left="1680" w:hanging="420"/>
      </w:pPr>
    </w:lvl>
    <w:lvl w:ilvl="4">
      <w:start w:val="1"/>
      <w:numFmt w:val="lowerLetter"/>
      <w:isLgl w:val="false"/>
      <w:suff w:val="tab"/>
      <w:lvlText w:val="%5)"/>
      <w:lvlJc w:val="left"/>
      <w:pPr>
        <w:pStyle w:val="651"/>
        <w:ind w:left="2100" w:hanging="420"/>
      </w:pPr>
    </w:lvl>
    <w:lvl w:ilvl="5">
      <w:start w:val="1"/>
      <w:numFmt w:val="lowerRoman"/>
      <w:isLgl w:val="false"/>
      <w:suff w:val="tab"/>
      <w:lvlText w:val="%6."/>
      <w:lvlJc w:val="right"/>
      <w:pPr>
        <w:pStyle w:val="651"/>
        <w:ind w:left="2520" w:hanging="420"/>
      </w:pPr>
    </w:lvl>
    <w:lvl w:ilvl="6">
      <w:start w:val="1"/>
      <w:numFmt w:val="decimal"/>
      <w:isLgl w:val="false"/>
      <w:suff w:val="tab"/>
      <w:lvlText w:val="%7."/>
      <w:lvlJc w:val="left"/>
      <w:pPr>
        <w:pStyle w:val="651"/>
        <w:ind w:left="2940" w:hanging="420"/>
      </w:pPr>
    </w:lvl>
    <w:lvl w:ilvl="7">
      <w:start w:val="1"/>
      <w:numFmt w:val="lowerLetter"/>
      <w:isLgl w:val="false"/>
      <w:suff w:val="tab"/>
      <w:lvlText w:val="%8)"/>
      <w:lvlJc w:val="left"/>
      <w:pPr>
        <w:pStyle w:val="651"/>
        <w:ind w:left="3360" w:hanging="420"/>
      </w:pPr>
    </w:lvl>
    <w:lvl w:ilvl="8">
      <w:start w:val="1"/>
      <w:numFmt w:val="lowerRoman"/>
      <w:isLgl w:val="false"/>
      <w:suff w:val="tab"/>
      <w:lvlText w:val="%9."/>
      <w:lvlJc w:val="right"/>
      <w:pPr>
        <w:pStyle w:val="651"/>
        <w:ind w:left="3780" w:hanging="420"/>
      </w:pPr>
    </w:lvl>
  </w:abstractNum>
  <w:abstractNum w:abstractNumId="3">
    <w:multiLevelType w:val="hybridMultilevel"/>
    <w:lvl w:ilvl="0">
      <w:start w:val="1"/>
      <w:numFmt w:val="lowerLetter"/>
      <w:pStyle w:val="840"/>
      <w:isLgl w:val="false"/>
      <w:suff w:val="tab"/>
      <w:lvlText w:val="%1)"/>
      <w:lvlJc w:val="left"/>
      <w:pPr>
        <w:pStyle w:val="651"/>
        <w:ind w:left="902" w:hanging="420"/>
      </w:pPr>
      <w:rPr>
        <w:color w:val="000000"/>
      </w:rPr>
    </w:lvl>
    <w:lvl w:ilvl="1">
      <w:start w:val="1"/>
      <w:numFmt w:val="lowerLetter"/>
      <w:isLgl w:val="false"/>
      <w:suff w:val="tab"/>
      <w:lvlText w:val="%2)"/>
      <w:lvlJc w:val="left"/>
      <w:pPr>
        <w:pStyle w:val="651"/>
        <w:ind w:left="1322" w:hanging="420"/>
      </w:pPr>
    </w:lvl>
    <w:lvl w:ilvl="2">
      <w:start w:val="1"/>
      <w:numFmt w:val="lowerRoman"/>
      <w:isLgl w:val="false"/>
      <w:suff w:val="tab"/>
      <w:lvlText w:val="%3."/>
      <w:lvlJc w:val="right"/>
      <w:pPr>
        <w:pStyle w:val="651"/>
        <w:ind w:left="1742" w:hanging="420"/>
      </w:pPr>
    </w:lvl>
    <w:lvl w:ilvl="3">
      <w:start w:val="1"/>
      <w:numFmt w:val="decimal"/>
      <w:isLgl w:val="false"/>
      <w:suff w:val="tab"/>
      <w:lvlText w:val="%4."/>
      <w:lvlJc w:val="left"/>
      <w:pPr>
        <w:pStyle w:val="651"/>
        <w:ind w:left="2162" w:hanging="420"/>
      </w:pPr>
    </w:lvl>
    <w:lvl w:ilvl="4">
      <w:start w:val="1"/>
      <w:numFmt w:val="lowerLetter"/>
      <w:isLgl w:val="false"/>
      <w:suff w:val="tab"/>
      <w:lvlText w:val="%5)"/>
      <w:lvlJc w:val="left"/>
      <w:pPr>
        <w:pStyle w:val="651"/>
        <w:ind w:left="2582" w:hanging="420"/>
      </w:pPr>
    </w:lvl>
    <w:lvl w:ilvl="5">
      <w:start w:val="1"/>
      <w:numFmt w:val="lowerRoman"/>
      <w:isLgl w:val="false"/>
      <w:suff w:val="tab"/>
      <w:lvlText w:val="%6."/>
      <w:lvlJc w:val="right"/>
      <w:pPr>
        <w:pStyle w:val="651"/>
        <w:ind w:left="3002" w:hanging="420"/>
      </w:pPr>
    </w:lvl>
    <w:lvl w:ilvl="6">
      <w:start w:val="1"/>
      <w:numFmt w:val="decimal"/>
      <w:isLgl w:val="false"/>
      <w:suff w:val="tab"/>
      <w:lvlText w:val="%7."/>
      <w:lvlJc w:val="left"/>
      <w:pPr>
        <w:pStyle w:val="651"/>
        <w:ind w:left="3422" w:hanging="420"/>
      </w:pPr>
    </w:lvl>
    <w:lvl w:ilvl="7">
      <w:start w:val="1"/>
      <w:numFmt w:val="lowerLetter"/>
      <w:isLgl w:val="false"/>
      <w:suff w:val="tab"/>
      <w:lvlText w:val="%8)"/>
      <w:lvlJc w:val="left"/>
      <w:pPr>
        <w:pStyle w:val="651"/>
        <w:ind w:left="3842" w:hanging="420"/>
      </w:pPr>
    </w:lvl>
    <w:lvl w:ilvl="8">
      <w:start w:val="1"/>
      <w:numFmt w:val="lowerRoman"/>
      <w:isLgl w:val="false"/>
      <w:suff w:val="tab"/>
      <w:lvlText w:val="%9."/>
      <w:lvlJc w:val="right"/>
      <w:pPr>
        <w:pStyle w:val="651"/>
        <w:ind w:left="4262" w:hanging="420"/>
      </w:pPr>
    </w:lvl>
  </w:abstractNum>
  <w:abstractNum w:abstractNumId="4">
    <w:multiLevelType w:val="hybridMultilevel"/>
    <w:lvl w:ilvl="0">
      <w:start w:val="1"/>
      <w:numFmt w:val="decimal"/>
      <w:pStyle w:val="811"/>
      <w:isLgl w:val="false"/>
      <w:suff w:val="tab"/>
      <w:lvlText w:val="%1."/>
      <w:lvlJc w:val="left"/>
      <w:pPr>
        <w:pStyle w:val="65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0"/>
      <w:isLgl w:val="false"/>
      <w:suff w:val="nothing"/>
      <w:lvlText w:val="%1　"/>
      <w:lvlJc w:val="left"/>
      <w:pPr>
        <w:pStyle w:val="65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65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651"/>
        <w:ind w:left="-25" w:firstLine="0"/>
      </w:pPr>
      <w:rPr>
        <w:rFonts w:ascii="Times New Roman" w:hAnsi="Times New Roman" w:eastAsia="黑体"/>
        <w:b/>
        <w:i w:val="0"/>
        <w:sz w:val="28"/>
      </w:rPr>
    </w:lvl>
    <w:lvl w:ilvl="3">
      <w:start w:val="1"/>
      <w:numFmt w:val="decimal"/>
      <w:pStyle w:val="796"/>
      <w:isLgl w:val="false"/>
      <w:suff w:val="nothing"/>
      <w:lvlText w:val="%1.%2.%3.%4　"/>
      <w:lvlJc w:val="left"/>
      <w:pPr>
        <w:pStyle w:val="65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65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651"/>
        <w:ind w:left="-25" w:firstLine="0"/>
      </w:pPr>
      <w:rPr>
        <w:rFonts w:ascii="Times New Roman" w:hAnsi="Times New Roman" w:eastAsia="宋体"/>
        <w:b/>
        <w:i w:val="0"/>
        <w:sz w:val="28"/>
      </w:rPr>
    </w:lvl>
    <w:lvl w:ilvl="6">
      <w:start w:val="1"/>
      <w:numFmt w:val="lowerLetter"/>
      <w:pStyle w:val="817"/>
      <w:isLgl w:val="false"/>
      <w:suff w:val="tab"/>
      <w:lvlText w:val="%7) "/>
      <w:lvlJc w:val="left"/>
      <w:pPr>
        <w:pStyle w:val="651"/>
        <w:ind w:left="-125" w:firstLine="400"/>
        <w:tabs>
          <w:tab w:val="num" w:pos="635" w:leader="none"/>
        </w:tabs>
      </w:pPr>
      <w:rPr>
        <w:rFonts w:ascii="Times New Roman" w:hAnsi="Times New Roman" w:eastAsia="宋体"/>
        <w:b/>
        <w:i w:val="0"/>
        <w:color w:val="000000"/>
        <w:sz w:val="28"/>
        <w:u w:val="none"/>
      </w:rPr>
    </w:lvl>
    <w:lvl w:ilvl="7">
      <w:start w:val="1"/>
      <w:numFmt w:val="decimal"/>
      <w:pStyle w:val="780"/>
      <w:isLgl w:val="false"/>
      <w:suff w:val="tab"/>
      <w:lvlText w:val="%8) "/>
      <w:lvlJc w:val="left"/>
      <w:pPr>
        <w:pStyle w:val="65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65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651"/>
        <w:ind w:left="768" w:hanging="360"/>
        <w:tabs>
          <w:tab w:val="num" w:pos="768" w:leader="none"/>
        </w:tabs>
      </w:pPr>
      <w:rPr>
        <w:rFonts w:hint="eastAsia"/>
      </w:rPr>
    </w:lvl>
    <w:lvl w:ilvl="1">
      <w:start w:val="1"/>
      <w:numFmt w:val="decimal"/>
      <w:pStyle w:val="798"/>
      <w:isLgl w:val="false"/>
      <w:suff w:val="tab"/>
      <w:lvlText w:val="%2、"/>
      <w:lvlJc w:val="left"/>
      <w:pPr>
        <w:pStyle w:val="651"/>
        <w:ind w:left="1188" w:hanging="360"/>
        <w:tabs>
          <w:tab w:val="num" w:pos="1188" w:leader="none"/>
        </w:tabs>
      </w:pPr>
      <w:rPr>
        <w:rFonts w:hint="eastAsia"/>
      </w:rPr>
    </w:lvl>
    <w:lvl w:ilvl="2">
      <w:start w:val="1"/>
      <w:numFmt w:val="decimal"/>
      <w:isLgl w:val="false"/>
      <w:suff w:val="tab"/>
      <w:lvlText w:val="（%3）"/>
      <w:lvlJc w:val="left"/>
      <w:pPr>
        <w:pStyle w:val="651"/>
        <w:ind w:left="1968" w:hanging="720"/>
        <w:tabs>
          <w:tab w:val="num" w:pos="1968" w:leader="none"/>
        </w:tabs>
      </w:pPr>
      <w:rPr>
        <w:rFonts w:hint="eastAsia"/>
        <w:u w:val="none"/>
      </w:rPr>
    </w:lvl>
    <w:lvl w:ilvl="3">
      <w:start w:val="1"/>
      <w:numFmt w:val="decimal"/>
      <w:isLgl w:val="false"/>
      <w:suff w:val="tab"/>
      <w:lvlText w:val="%4."/>
      <w:lvlJc w:val="left"/>
      <w:pPr>
        <w:pStyle w:val="651"/>
        <w:ind w:left="2088" w:hanging="420"/>
        <w:tabs>
          <w:tab w:val="num" w:pos="2088" w:leader="none"/>
        </w:tabs>
      </w:pPr>
    </w:lvl>
    <w:lvl w:ilvl="4">
      <w:start w:val="1"/>
      <w:numFmt w:val="lowerLetter"/>
      <w:isLgl w:val="false"/>
      <w:suff w:val="tab"/>
      <w:lvlText w:val="%5)"/>
      <w:lvlJc w:val="left"/>
      <w:pPr>
        <w:pStyle w:val="651"/>
        <w:ind w:left="2508" w:hanging="420"/>
        <w:tabs>
          <w:tab w:val="num" w:pos="2508" w:leader="none"/>
        </w:tabs>
      </w:pPr>
    </w:lvl>
    <w:lvl w:ilvl="5">
      <w:start w:val="1"/>
      <w:numFmt w:val="lowerRoman"/>
      <w:isLgl w:val="false"/>
      <w:suff w:val="tab"/>
      <w:lvlText w:val="%6."/>
      <w:lvlJc w:val="right"/>
      <w:pPr>
        <w:pStyle w:val="651"/>
        <w:ind w:left="2928" w:hanging="420"/>
        <w:tabs>
          <w:tab w:val="num" w:pos="2928" w:leader="none"/>
        </w:tabs>
      </w:pPr>
    </w:lvl>
    <w:lvl w:ilvl="6">
      <w:start w:val="1"/>
      <w:numFmt w:val="decimal"/>
      <w:isLgl w:val="false"/>
      <w:suff w:val="tab"/>
      <w:lvlText w:val="%7."/>
      <w:lvlJc w:val="left"/>
      <w:pPr>
        <w:pStyle w:val="651"/>
        <w:ind w:left="3348" w:hanging="420"/>
        <w:tabs>
          <w:tab w:val="num" w:pos="3348" w:leader="none"/>
        </w:tabs>
      </w:pPr>
    </w:lvl>
    <w:lvl w:ilvl="7">
      <w:start w:val="1"/>
      <w:numFmt w:val="lowerLetter"/>
      <w:isLgl w:val="false"/>
      <w:suff w:val="tab"/>
      <w:lvlText w:val="%8)"/>
      <w:lvlJc w:val="left"/>
      <w:pPr>
        <w:pStyle w:val="651"/>
        <w:ind w:left="3768" w:hanging="420"/>
        <w:tabs>
          <w:tab w:val="num" w:pos="3768" w:leader="none"/>
        </w:tabs>
      </w:pPr>
    </w:lvl>
    <w:lvl w:ilvl="8">
      <w:start w:val="1"/>
      <w:numFmt w:val="lowerRoman"/>
      <w:isLgl w:val="false"/>
      <w:suff w:val="tab"/>
      <w:lvlText w:val="%9."/>
      <w:lvlJc w:val="right"/>
      <w:pPr>
        <w:pStyle w:val="65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651"/>
        <w:ind w:left="900" w:hanging="900"/>
        <w:tabs>
          <w:tab w:val="num" w:pos="900" w:leader="none"/>
        </w:tabs>
      </w:pPr>
      <w:rPr>
        <w:rFonts w:hint="eastAsia"/>
      </w:rPr>
    </w:lvl>
    <w:lvl w:ilvl="1">
      <w:start w:val="1"/>
      <w:numFmt w:val="decimal"/>
      <w:isLgl w:val="false"/>
      <w:suff w:val="tab"/>
      <w:lvlText w:val="%1.%2"/>
      <w:lvlJc w:val="left"/>
      <w:pPr>
        <w:pStyle w:val="65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51"/>
        <w:ind w:left="1980" w:hanging="900"/>
        <w:tabs>
          <w:tab w:val="num" w:pos="1980" w:leader="none"/>
        </w:tabs>
      </w:pPr>
      <w:rPr>
        <w:rFonts w:hint="eastAsia"/>
      </w:rPr>
    </w:lvl>
    <w:lvl w:ilvl="3">
      <w:start w:val="1"/>
      <w:numFmt w:val="decimal"/>
      <w:isLgl w:val="false"/>
      <w:suff w:val="tab"/>
      <w:lvlText w:val="%1.%2.%3.%4"/>
      <w:lvlJc w:val="left"/>
      <w:pPr>
        <w:pStyle w:val="651"/>
        <w:ind w:left="900" w:hanging="900"/>
        <w:tabs>
          <w:tab w:val="num" w:pos="900" w:leader="none"/>
        </w:tabs>
      </w:pPr>
      <w:rPr>
        <w:rFonts w:hint="eastAsia"/>
      </w:rPr>
    </w:lvl>
    <w:lvl w:ilvl="4">
      <w:start w:val="1"/>
      <w:numFmt w:val="decimal"/>
      <w:isLgl w:val="false"/>
      <w:suff w:val="tab"/>
      <w:lvlText w:val="%1.%2.%3.%4.%5"/>
      <w:lvlJc w:val="left"/>
      <w:pPr>
        <w:pStyle w:val="651"/>
        <w:ind w:left="900" w:hanging="900"/>
        <w:tabs>
          <w:tab w:val="num" w:pos="900" w:leader="none"/>
        </w:tabs>
      </w:pPr>
      <w:rPr>
        <w:rFonts w:hint="eastAsia"/>
      </w:rPr>
    </w:lvl>
    <w:lvl w:ilvl="5">
      <w:start w:val="1"/>
      <w:numFmt w:val="decimal"/>
      <w:isLgl w:val="false"/>
      <w:suff w:val="tab"/>
      <w:lvlText w:val="%1.%2.%3.%4.%5.%6"/>
      <w:lvlJc w:val="left"/>
      <w:pPr>
        <w:pStyle w:val="651"/>
        <w:ind w:left="900" w:hanging="900"/>
        <w:tabs>
          <w:tab w:val="num" w:pos="900" w:leader="none"/>
        </w:tabs>
      </w:pPr>
      <w:rPr>
        <w:rFonts w:hint="eastAsia"/>
      </w:rPr>
    </w:lvl>
    <w:lvl w:ilvl="6">
      <w:start w:val="1"/>
      <w:numFmt w:val="decimal"/>
      <w:isLgl w:val="false"/>
      <w:suff w:val="tab"/>
      <w:lvlText w:val="%1.%2.%3.%4.%5.%6.%7"/>
      <w:lvlJc w:val="left"/>
      <w:pPr>
        <w:pStyle w:val="651"/>
        <w:ind w:left="900" w:hanging="900"/>
        <w:tabs>
          <w:tab w:val="num" w:pos="900" w:leader="none"/>
        </w:tabs>
      </w:pPr>
      <w:rPr>
        <w:rFonts w:hint="eastAsia"/>
      </w:rPr>
    </w:lvl>
    <w:lvl w:ilvl="7">
      <w:start w:val="1"/>
      <w:numFmt w:val="decimal"/>
      <w:isLgl w:val="false"/>
      <w:suff w:val="tab"/>
      <w:lvlText w:val="%1.%2.%3.%4.%5.%6.%7.%8"/>
      <w:lvlJc w:val="left"/>
      <w:pPr>
        <w:pStyle w:val="651"/>
        <w:ind w:left="900" w:hanging="900"/>
        <w:tabs>
          <w:tab w:val="num" w:pos="900" w:leader="none"/>
        </w:tabs>
      </w:pPr>
      <w:rPr>
        <w:rFonts w:hint="eastAsia"/>
      </w:rPr>
    </w:lvl>
    <w:lvl w:ilvl="8">
      <w:start w:val="1"/>
      <w:numFmt w:val="decimal"/>
      <w:isLgl w:val="false"/>
      <w:suff w:val="tab"/>
      <w:lvlText w:val="%1.%2.%3.%4.%5.%6.%7.%8.%9"/>
      <w:lvlJc w:val="left"/>
      <w:pPr>
        <w:pStyle w:val="651"/>
        <w:ind w:left="900" w:hanging="900"/>
        <w:tabs>
          <w:tab w:val="num" w:pos="900" w:leader="none"/>
        </w:tabs>
      </w:pPr>
      <w:rPr>
        <w:rFonts w:hint="eastAsia"/>
      </w:rPr>
    </w:lvl>
  </w:abstractNum>
  <w:abstractNum w:abstractNumId="8">
    <w:multiLevelType w:val="hybridMultilevel"/>
    <w:lvl w:ilvl="0">
      <w:start w:val="1"/>
      <w:numFmt w:val="decimal"/>
      <w:pStyle w:val="765"/>
      <w:isLgl w:val="false"/>
      <w:suff w:val="tab"/>
      <w:lvlText w:val="%1)"/>
      <w:lvlJc w:val="left"/>
      <w:pPr>
        <w:pStyle w:val="651"/>
        <w:ind w:left="420" w:hanging="420"/>
      </w:pPr>
    </w:lvl>
    <w:lvl w:ilvl="1">
      <w:start w:val="1"/>
      <w:numFmt w:val="lowerLetter"/>
      <w:isLgl w:val="false"/>
      <w:suff w:val="tab"/>
      <w:lvlText w:val="%2)"/>
      <w:lvlJc w:val="left"/>
      <w:pPr>
        <w:pStyle w:val="651"/>
        <w:ind w:left="840" w:hanging="420"/>
      </w:pPr>
    </w:lvl>
    <w:lvl w:ilvl="2">
      <w:start w:val="1"/>
      <w:numFmt w:val="lowerRoman"/>
      <w:isLgl w:val="false"/>
      <w:suff w:val="tab"/>
      <w:lvlText w:val="%3."/>
      <w:lvlJc w:val="right"/>
      <w:pPr>
        <w:pStyle w:val="651"/>
        <w:ind w:left="1260" w:hanging="420"/>
      </w:pPr>
    </w:lvl>
    <w:lvl w:ilvl="3">
      <w:start w:val="1"/>
      <w:numFmt w:val="decimal"/>
      <w:isLgl w:val="false"/>
      <w:suff w:val="tab"/>
      <w:lvlText w:val="%4."/>
      <w:lvlJc w:val="left"/>
      <w:pPr>
        <w:pStyle w:val="651"/>
        <w:ind w:left="1680" w:hanging="420"/>
      </w:pPr>
    </w:lvl>
    <w:lvl w:ilvl="4">
      <w:start w:val="1"/>
      <w:numFmt w:val="lowerLetter"/>
      <w:isLgl w:val="false"/>
      <w:suff w:val="tab"/>
      <w:lvlText w:val="%5)"/>
      <w:lvlJc w:val="left"/>
      <w:pPr>
        <w:pStyle w:val="651"/>
        <w:ind w:left="2100" w:hanging="420"/>
      </w:pPr>
    </w:lvl>
    <w:lvl w:ilvl="5">
      <w:start w:val="1"/>
      <w:numFmt w:val="lowerRoman"/>
      <w:isLgl w:val="false"/>
      <w:suff w:val="tab"/>
      <w:lvlText w:val="%6."/>
      <w:lvlJc w:val="right"/>
      <w:pPr>
        <w:pStyle w:val="651"/>
        <w:ind w:left="2520" w:hanging="420"/>
      </w:pPr>
    </w:lvl>
    <w:lvl w:ilvl="6">
      <w:start w:val="1"/>
      <w:numFmt w:val="decimal"/>
      <w:isLgl w:val="false"/>
      <w:suff w:val="tab"/>
      <w:lvlText w:val="%7."/>
      <w:lvlJc w:val="left"/>
      <w:pPr>
        <w:pStyle w:val="651"/>
        <w:ind w:left="2940" w:hanging="420"/>
      </w:pPr>
    </w:lvl>
    <w:lvl w:ilvl="7">
      <w:start w:val="1"/>
      <w:numFmt w:val="lowerLetter"/>
      <w:isLgl w:val="false"/>
      <w:suff w:val="tab"/>
      <w:lvlText w:val="%8)"/>
      <w:lvlJc w:val="left"/>
      <w:pPr>
        <w:pStyle w:val="651"/>
        <w:ind w:left="3360" w:hanging="420"/>
      </w:pPr>
    </w:lvl>
    <w:lvl w:ilvl="8">
      <w:start w:val="1"/>
      <w:numFmt w:val="lowerRoman"/>
      <w:isLgl w:val="false"/>
      <w:suff w:val="tab"/>
      <w:lvlText w:val="%9."/>
      <w:lvlJc w:val="right"/>
      <w:pPr>
        <w:pStyle w:val="651"/>
        <w:ind w:left="3780" w:hanging="420"/>
      </w:pPr>
    </w:lvl>
  </w:abstractNum>
  <w:abstractNum w:abstractNumId="9">
    <w:multiLevelType w:val="hybridMultilevel"/>
    <w:lvl w:ilvl="0">
      <w:start w:val="1"/>
      <w:numFmt w:val="decimal"/>
      <w:pStyle w:val="865"/>
      <w:isLgl w:val="false"/>
      <w:suff w:val="tab"/>
      <w:lvlText w:val="%1"/>
      <w:lvlJc w:val="left"/>
      <w:pPr>
        <w:pStyle w:val="651"/>
        <w:ind w:left="680" w:hanging="680"/>
      </w:pPr>
      <w:rPr>
        <w:rFonts w:hint="eastAsia" w:ascii="宋体" w:hAnsi="宋体" w:eastAsia="宋体"/>
      </w:rPr>
    </w:lvl>
    <w:lvl w:ilvl="1">
      <w:start w:val="1"/>
      <w:numFmt w:val="decimal"/>
      <w:pStyle w:val="866"/>
      <w:isLgl w:val="false"/>
      <w:suff w:val="tab"/>
      <w:lvlText w:val="%1.%2"/>
      <w:lvlJc w:val="left"/>
      <w:pPr>
        <w:pStyle w:val="651"/>
        <w:ind w:left="851" w:hanging="851"/>
      </w:pPr>
      <w:rPr>
        <w:rFonts w:hint="eastAsia" w:ascii="宋体" w:hAnsi="宋体" w:eastAsia="宋体"/>
        <w:color w:val="000000"/>
      </w:rPr>
    </w:lvl>
    <w:lvl w:ilvl="2">
      <w:start w:val="1"/>
      <w:numFmt w:val="decimal"/>
      <w:pStyle w:val="867"/>
      <w:isLgl w:val="false"/>
      <w:suff w:val="tab"/>
      <w:lvlText w:val="%1.%2.%3"/>
      <w:lvlJc w:val="left"/>
      <w:pPr>
        <w:pStyle w:val="651"/>
        <w:ind w:left="851" w:hanging="851"/>
      </w:pPr>
      <w:rPr>
        <w:rFonts w:hint="eastAsia"/>
      </w:rPr>
    </w:lvl>
    <w:lvl w:ilvl="3">
      <w:start w:val="1"/>
      <w:numFmt w:val="decimal"/>
      <w:isLgl w:val="false"/>
      <w:suff w:val="tab"/>
      <w:lvlText w:val="%1.%2.%3.%4"/>
      <w:lvlJc w:val="left"/>
      <w:pPr>
        <w:pStyle w:val="651"/>
        <w:ind w:left="680" w:hanging="680"/>
      </w:pPr>
      <w:rPr>
        <w:rFonts w:hint="eastAsia"/>
      </w:rPr>
    </w:lvl>
    <w:lvl w:ilvl="4">
      <w:start w:val="1"/>
      <w:numFmt w:val="decimal"/>
      <w:isLgl w:val="false"/>
      <w:suff w:val="tab"/>
      <w:lvlText w:val="%1.%2.%3.%4.%5"/>
      <w:lvlJc w:val="left"/>
      <w:pPr>
        <w:pStyle w:val="651"/>
        <w:ind w:left="680" w:hanging="680"/>
      </w:pPr>
      <w:rPr>
        <w:rFonts w:hint="eastAsia"/>
      </w:rPr>
    </w:lvl>
    <w:lvl w:ilvl="5">
      <w:start w:val="1"/>
      <w:numFmt w:val="decimal"/>
      <w:isLgl w:val="false"/>
      <w:suff w:val="tab"/>
      <w:lvlText w:val="%1.%2.%3.%4.%5.%6"/>
      <w:lvlJc w:val="left"/>
      <w:pPr>
        <w:pStyle w:val="651"/>
        <w:ind w:left="680" w:hanging="680"/>
      </w:pPr>
      <w:rPr>
        <w:rFonts w:hint="eastAsia"/>
      </w:rPr>
    </w:lvl>
    <w:lvl w:ilvl="6">
      <w:start w:val="1"/>
      <w:numFmt w:val="decimal"/>
      <w:isLgl w:val="false"/>
      <w:suff w:val="tab"/>
      <w:lvlText w:val="%1.%2.%3.%4.%5.%6.%7"/>
      <w:lvlJc w:val="left"/>
      <w:pPr>
        <w:pStyle w:val="651"/>
        <w:ind w:left="680" w:hanging="680"/>
      </w:pPr>
      <w:rPr>
        <w:rFonts w:hint="eastAsia"/>
      </w:rPr>
    </w:lvl>
    <w:lvl w:ilvl="7">
      <w:start w:val="1"/>
      <w:numFmt w:val="decimal"/>
      <w:isLgl w:val="false"/>
      <w:suff w:val="tab"/>
      <w:lvlText w:val="%1.%2.%3.%4.%5.%6.%7.%8"/>
      <w:lvlJc w:val="left"/>
      <w:pPr>
        <w:pStyle w:val="651"/>
        <w:ind w:left="680" w:hanging="680"/>
      </w:pPr>
      <w:rPr>
        <w:rFonts w:hint="eastAsia"/>
      </w:rPr>
    </w:lvl>
    <w:lvl w:ilvl="8">
      <w:start w:val="1"/>
      <w:numFmt w:val="decimal"/>
      <w:isLgl w:val="false"/>
      <w:suff w:val="tab"/>
      <w:lvlText w:val="%1.%2.%3.%4.%5.%6.%7.%8.%9"/>
      <w:lvlJc w:val="left"/>
      <w:pPr>
        <w:pStyle w:val="651"/>
        <w:ind w:left="680" w:hanging="680"/>
      </w:pPr>
      <w:rPr>
        <w:rFonts w:hint="eastAsia"/>
      </w:rPr>
    </w:lvl>
  </w:abstractNum>
  <w:abstractNum w:abstractNumId="10">
    <w:multiLevelType w:val="hybridMultilevel"/>
    <w:lvl w:ilvl="0">
      <w:start w:val="1"/>
      <w:numFmt w:val="decimal"/>
      <w:isLgl w:val="false"/>
      <w:suff w:val="tab"/>
      <w:lvlText w:val="%1"/>
      <w:lvlJc w:val="left"/>
      <w:pPr>
        <w:pStyle w:val="651"/>
        <w:ind w:left="900" w:hanging="900"/>
        <w:tabs>
          <w:tab w:val="num" w:pos="900" w:leader="none"/>
        </w:tabs>
      </w:pPr>
      <w:rPr>
        <w:rFonts w:hint="eastAsia"/>
      </w:rPr>
    </w:lvl>
    <w:lvl w:ilvl="1">
      <w:start w:val="1"/>
      <w:numFmt w:val="decimal"/>
      <w:isLgl w:val="false"/>
      <w:suff w:val="tab"/>
      <w:lvlText w:val="%1.%2"/>
      <w:lvlJc w:val="left"/>
      <w:pPr>
        <w:pStyle w:val="65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51"/>
        <w:ind w:left="1980" w:hanging="900"/>
        <w:tabs>
          <w:tab w:val="num" w:pos="1980" w:leader="none"/>
        </w:tabs>
      </w:pPr>
      <w:rPr>
        <w:rFonts w:hint="eastAsia"/>
      </w:rPr>
    </w:lvl>
    <w:lvl w:ilvl="3">
      <w:start w:val="1"/>
      <w:numFmt w:val="decimal"/>
      <w:isLgl w:val="false"/>
      <w:suff w:val="tab"/>
      <w:lvlText w:val="%1.%2.%3.%4"/>
      <w:lvlJc w:val="left"/>
      <w:pPr>
        <w:pStyle w:val="651"/>
        <w:ind w:left="900" w:hanging="900"/>
        <w:tabs>
          <w:tab w:val="num" w:pos="900" w:leader="none"/>
        </w:tabs>
      </w:pPr>
      <w:rPr>
        <w:rFonts w:hint="eastAsia"/>
      </w:rPr>
    </w:lvl>
    <w:lvl w:ilvl="4">
      <w:start w:val="1"/>
      <w:numFmt w:val="decimal"/>
      <w:isLgl w:val="false"/>
      <w:suff w:val="tab"/>
      <w:lvlText w:val="%1.%2.%3.%4.%5"/>
      <w:lvlJc w:val="left"/>
      <w:pPr>
        <w:pStyle w:val="651"/>
        <w:ind w:left="900" w:hanging="900"/>
        <w:tabs>
          <w:tab w:val="num" w:pos="900" w:leader="none"/>
        </w:tabs>
      </w:pPr>
      <w:rPr>
        <w:rFonts w:hint="eastAsia"/>
      </w:rPr>
    </w:lvl>
    <w:lvl w:ilvl="5">
      <w:start w:val="1"/>
      <w:numFmt w:val="decimal"/>
      <w:isLgl w:val="false"/>
      <w:suff w:val="tab"/>
      <w:lvlText w:val="%1.%2.%3.%4.%5.%6"/>
      <w:lvlJc w:val="left"/>
      <w:pPr>
        <w:pStyle w:val="651"/>
        <w:ind w:left="900" w:hanging="900"/>
        <w:tabs>
          <w:tab w:val="num" w:pos="900" w:leader="none"/>
        </w:tabs>
      </w:pPr>
      <w:rPr>
        <w:rFonts w:hint="eastAsia"/>
      </w:rPr>
    </w:lvl>
    <w:lvl w:ilvl="6">
      <w:start w:val="1"/>
      <w:numFmt w:val="decimal"/>
      <w:isLgl w:val="false"/>
      <w:suff w:val="tab"/>
      <w:lvlText w:val="%1.%2.%3.%4.%5.%6.%7"/>
      <w:lvlJc w:val="left"/>
      <w:pPr>
        <w:pStyle w:val="651"/>
        <w:ind w:left="900" w:hanging="900"/>
        <w:tabs>
          <w:tab w:val="num" w:pos="900" w:leader="none"/>
        </w:tabs>
      </w:pPr>
      <w:rPr>
        <w:rFonts w:hint="eastAsia"/>
      </w:rPr>
    </w:lvl>
    <w:lvl w:ilvl="7">
      <w:start w:val="1"/>
      <w:numFmt w:val="decimal"/>
      <w:isLgl w:val="false"/>
      <w:suff w:val="tab"/>
      <w:lvlText w:val="%1.%2.%3.%4.%5.%6.%7.%8"/>
      <w:lvlJc w:val="left"/>
      <w:pPr>
        <w:pStyle w:val="651"/>
        <w:ind w:left="900" w:hanging="900"/>
        <w:tabs>
          <w:tab w:val="num" w:pos="900" w:leader="none"/>
        </w:tabs>
      </w:pPr>
      <w:rPr>
        <w:rFonts w:hint="eastAsia"/>
      </w:rPr>
    </w:lvl>
    <w:lvl w:ilvl="8">
      <w:start w:val="1"/>
      <w:numFmt w:val="decimal"/>
      <w:isLgl w:val="false"/>
      <w:suff w:val="tab"/>
      <w:lvlText w:val="%1.%2.%3.%4.%5.%6.%7.%8.%9"/>
      <w:lvlJc w:val="left"/>
      <w:pPr>
        <w:pStyle w:val="65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651"/>
        <w:ind w:left="900" w:hanging="900"/>
        <w:tabs>
          <w:tab w:val="num" w:pos="900" w:leader="none"/>
        </w:tabs>
      </w:pPr>
      <w:rPr>
        <w:rFonts w:hint="eastAsia"/>
      </w:rPr>
    </w:lvl>
    <w:lvl w:ilvl="1">
      <w:start w:val="1"/>
      <w:numFmt w:val="decimal"/>
      <w:isLgl w:val="false"/>
      <w:suff w:val="tab"/>
      <w:lvlText w:val="%1.%2"/>
      <w:lvlJc w:val="left"/>
      <w:pPr>
        <w:pStyle w:val="65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51"/>
        <w:ind w:left="1980" w:hanging="900"/>
        <w:tabs>
          <w:tab w:val="num" w:pos="1980" w:leader="none"/>
        </w:tabs>
      </w:pPr>
      <w:rPr>
        <w:rFonts w:hint="eastAsia"/>
      </w:rPr>
    </w:lvl>
    <w:lvl w:ilvl="3">
      <w:start w:val="1"/>
      <w:numFmt w:val="decimal"/>
      <w:isLgl w:val="false"/>
      <w:suff w:val="tab"/>
      <w:lvlText w:val="%1.%2.%3.%4"/>
      <w:lvlJc w:val="left"/>
      <w:pPr>
        <w:pStyle w:val="651"/>
        <w:ind w:left="900" w:hanging="900"/>
        <w:tabs>
          <w:tab w:val="num" w:pos="900" w:leader="none"/>
        </w:tabs>
      </w:pPr>
      <w:rPr>
        <w:rFonts w:hint="eastAsia"/>
      </w:rPr>
    </w:lvl>
    <w:lvl w:ilvl="4">
      <w:start w:val="1"/>
      <w:numFmt w:val="decimal"/>
      <w:isLgl w:val="false"/>
      <w:suff w:val="tab"/>
      <w:lvlText w:val="%1.%2.%3.%4.%5"/>
      <w:lvlJc w:val="left"/>
      <w:pPr>
        <w:pStyle w:val="651"/>
        <w:ind w:left="900" w:hanging="900"/>
        <w:tabs>
          <w:tab w:val="num" w:pos="900" w:leader="none"/>
        </w:tabs>
      </w:pPr>
      <w:rPr>
        <w:rFonts w:hint="eastAsia"/>
      </w:rPr>
    </w:lvl>
    <w:lvl w:ilvl="5">
      <w:start w:val="1"/>
      <w:numFmt w:val="decimal"/>
      <w:isLgl w:val="false"/>
      <w:suff w:val="tab"/>
      <w:lvlText w:val="%1.%2.%3.%4.%5.%6"/>
      <w:lvlJc w:val="left"/>
      <w:pPr>
        <w:pStyle w:val="651"/>
        <w:ind w:left="900" w:hanging="900"/>
        <w:tabs>
          <w:tab w:val="num" w:pos="900" w:leader="none"/>
        </w:tabs>
      </w:pPr>
      <w:rPr>
        <w:rFonts w:hint="eastAsia"/>
      </w:rPr>
    </w:lvl>
    <w:lvl w:ilvl="6">
      <w:start w:val="1"/>
      <w:numFmt w:val="decimal"/>
      <w:isLgl w:val="false"/>
      <w:suff w:val="tab"/>
      <w:lvlText w:val="%1.%2.%3.%4.%5.%6.%7"/>
      <w:lvlJc w:val="left"/>
      <w:pPr>
        <w:pStyle w:val="651"/>
        <w:ind w:left="900" w:hanging="900"/>
        <w:tabs>
          <w:tab w:val="num" w:pos="900" w:leader="none"/>
        </w:tabs>
      </w:pPr>
      <w:rPr>
        <w:rFonts w:hint="eastAsia"/>
      </w:rPr>
    </w:lvl>
    <w:lvl w:ilvl="7">
      <w:start w:val="1"/>
      <w:numFmt w:val="decimal"/>
      <w:isLgl w:val="false"/>
      <w:suff w:val="tab"/>
      <w:lvlText w:val="%1.%2.%3.%4.%5.%6.%7.%8"/>
      <w:lvlJc w:val="left"/>
      <w:pPr>
        <w:pStyle w:val="651"/>
        <w:ind w:left="900" w:hanging="900"/>
        <w:tabs>
          <w:tab w:val="num" w:pos="900" w:leader="none"/>
        </w:tabs>
      </w:pPr>
      <w:rPr>
        <w:rFonts w:hint="eastAsia"/>
      </w:rPr>
    </w:lvl>
    <w:lvl w:ilvl="8">
      <w:start w:val="1"/>
      <w:numFmt w:val="decimal"/>
      <w:isLgl w:val="false"/>
      <w:suff w:val="tab"/>
      <w:lvlText w:val="%1.%2.%3.%4.%5.%6.%7.%8.%9"/>
      <w:lvlJc w:val="left"/>
      <w:pPr>
        <w:pStyle w:val="651"/>
        <w:ind w:left="900" w:hanging="900"/>
        <w:tabs>
          <w:tab w:val="num" w:pos="900" w:leader="none"/>
        </w:tabs>
      </w:pPr>
      <w:rPr>
        <w:rFonts w:hint="eastAsia"/>
      </w:rPr>
    </w:lvl>
  </w:abstractNum>
  <w:abstractNum w:abstractNumId="12">
    <w:multiLevelType w:val="hybridMultilevel"/>
    <w:lvl w:ilvl="0">
      <w:start w:val="1"/>
      <w:numFmt w:val="chineseCountingThousand"/>
      <w:pStyle w:val="923"/>
      <w:isLgl w:val="false"/>
      <w:suff w:val="space"/>
      <w:lvlText w:val="%1、"/>
      <w:lvlJc w:val="left"/>
      <w:pPr>
        <w:pStyle w:val="651"/>
        <w:ind w:left="425" w:hanging="425"/>
      </w:pPr>
      <w:rPr>
        <w:rFonts w:hint="eastAsia" w:eastAsia="宋体"/>
        <w:b/>
        <w:i w:val="0"/>
        <w:sz w:val="30"/>
        <w:szCs w:val="30"/>
        <w:lang w:val="en-US"/>
      </w:rPr>
    </w:lvl>
    <w:lvl w:ilvl="1">
      <w:start w:val="1"/>
      <w:numFmt w:val="decimal"/>
      <w:isLgl w:val="false"/>
      <w:suff w:val="nothing"/>
      <w:lvlText w:val="%1.%2、"/>
      <w:lvlJc w:val="left"/>
      <w:pPr>
        <w:pStyle w:val="651"/>
        <w:ind w:left="992" w:hanging="567"/>
      </w:pPr>
      <w:rPr>
        <w:rFonts w:hint="eastAsia" w:ascii="宋体" w:hAnsi="宋体" w:eastAsia="宋体"/>
        <w:b/>
        <w:bCs w:val="0"/>
        <w:i w:val="0"/>
        <w:sz w:val="28"/>
        <w:szCs w:val="28"/>
      </w:rPr>
    </w:lvl>
    <w:lvl w:ilvl="2">
      <w:start w:val="1"/>
      <w:numFmt w:val="decimal"/>
      <w:isLgl w:val="false"/>
      <w:suff w:val="space"/>
      <w:lvlText w:val="%1.%2.%3、"/>
      <w:lvlJc w:val="left"/>
      <w:pPr>
        <w:pStyle w:val="651"/>
        <w:ind w:left="1418" w:hanging="567"/>
      </w:pPr>
      <w:rPr>
        <w:rFonts w:hint="eastAsia" w:ascii="宋体" w:hAnsi="宋体" w:eastAsia="宋体"/>
        <w:b/>
        <w:i w:val="0"/>
        <w:sz w:val="24"/>
        <w:szCs w:val="21"/>
      </w:rPr>
    </w:lvl>
    <w:lvl w:ilvl="3">
      <w:start w:val="1"/>
      <w:numFmt w:val="decimal"/>
      <w:isLgl w:val="false"/>
      <w:suff w:val="space"/>
      <w:lvlText w:val="%1.%2.%3.%4、"/>
      <w:lvlJc w:val="left"/>
      <w:pPr>
        <w:pStyle w:val="651"/>
        <w:ind w:left="1984" w:hanging="708"/>
      </w:pPr>
      <w:rPr>
        <w:rFonts w:ascii="宋体" w:hAnsi="宋体" w:eastAsia="宋体"/>
        <w:b/>
        <w:i w:val="0"/>
        <w:sz w:val="24"/>
        <w:szCs w:val="24"/>
      </w:rPr>
    </w:lvl>
    <w:lvl w:ilvl="4">
      <w:start w:val="1"/>
      <w:numFmt w:val="decimal"/>
      <w:isLgl w:val="false"/>
      <w:suff w:val="tab"/>
      <w:lvlText w:val="%1.%2.%3.%4.%5."/>
      <w:lvlJc w:val="left"/>
      <w:pPr>
        <w:pStyle w:val="651"/>
        <w:ind w:left="2551" w:hanging="850"/>
      </w:pPr>
      <w:rPr>
        <w:rFonts w:ascii="宋体" w:hAnsi="宋体" w:eastAsia="宋体" w:cs="宋体"/>
        <w:b/>
        <w:i w:val="0"/>
        <w:sz w:val="24"/>
        <w:szCs w:val="24"/>
      </w:rPr>
    </w:lvl>
    <w:lvl w:ilvl="5">
      <w:start w:val="1"/>
      <w:numFmt w:val="decimal"/>
      <w:isLgl w:val="false"/>
      <w:suff w:val="tab"/>
      <w:lvlText w:val="%1.%2.%3.%4.%5.%6"/>
      <w:lvlJc w:val="left"/>
      <w:pPr>
        <w:pStyle w:val="651"/>
        <w:ind w:left="3260" w:hanging="1134"/>
      </w:pPr>
      <w:rPr>
        <w:rFonts w:hint="eastAsia"/>
      </w:rPr>
    </w:lvl>
    <w:lvl w:ilvl="6">
      <w:start w:val="1"/>
      <w:numFmt w:val="decimal"/>
      <w:isLgl w:val="false"/>
      <w:suff w:val="tab"/>
      <w:lvlText w:val="%1.%2.%3.%4.%5.%6.%7"/>
      <w:lvlJc w:val="left"/>
      <w:pPr>
        <w:pStyle w:val="651"/>
        <w:ind w:left="3827" w:hanging="1276"/>
      </w:pPr>
      <w:rPr>
        <w:rFonts w:hint="eastAsia"/>
      </w:rPr>
    </w:lvl>
    <w:lvl w:ilvl="7">
      <w:start w:val="1"/>
      <w:numFmt w:val="decimal"/>
      <w:isLgl w:val="false"/>
      <w:suff w:val="tab"/>
      <w:lvlText w:val="%1.%2.%3.%4.%5.%6.%7.%8"/>
      <w:lvlJc w:val="left"/>
      <w:pPr>
        <w:pStyle w:val="651"/>
        <w:ind w:left="4394" w:hanging="1418"/>
      </w:pPr>
      <w:rPr>
        <w:rFonts w:hint="eastAsia"/>
      </w:rPr>
    </w:lvl>
    <w:lvl w:ilvl="8">
      <w:start w:val="1"/>
      <w:numFmt w:val="decimal"/>
      <w:isLgl w:val="false"/>
      <w:suff w:val="tab"/>
      <w:lvlText w:val="%1.%2.%3.%4.%5.%6.%7.%8.%9"/>
      <w:lvlJc w:val="left"/>
      <w:pPr>
        <w:pStyle w:val="651"/>
        <w:ind w:left="5102" w:hanging="1700"/>
      </w:pPr>
      <w:rPr>
        <w:rFonts w:hint="eastAsia"/>
      </w:rPr>
    </w:lvl>
  </w:abstractNum>
  <w:abstractNum w:abstractNumId="13">
    <w:multiLevelType w:val="hybridMultilevel"/>
    <w:lvl w:ilvl="0">
      <w:start w:val="1"/>
      <w:numFmt w:val="decimal"/>
      <w:isLgl w:val="false"/>
      <w:suff w:val="tab"/>
      <w:lvlText w:val="%1"/>
      <w:lvlJc w:val="left"/>
      <w:pPr>
        <w:pStyle w:val="651"/>
        <w:ind w:left="900" w:hanging="900"/>
        <w:tabs>
          <w:tab w:val="num" w:pos="900" w:leader="none"/>
        </w:tabs>
      </w:pPr>
      <w:rPr>
        <w:rFonts w:hint="eastAsia"/>
      </w:rPr>
    </w:lvl>
    <w:lvl w:ilvl="1">
      <w:start w:val="1"/>
      <w:numFmt w:val="decimal"/>
      <w:isLgl w:val="false"/>
      <w:suff w:val="tab"/>
      <w:lvlText w:val="%1.%2"/>
      <w:lvlJc w:val="left"/>
      <w:pPr>
        <w:pStyle w:val="65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51"/>
        <w:ind w:left="1980" w:hanging="900"/>
        <w:tabs>
          <w:tab w:val="num" w:pos="1980" w:leader="none"/>
        </w:tabs>
      </w:pPr>
      <w:rPr>
        <w:rFonts w:hint="eastAsia"/>
      </w:rPr>
    </w:lvl>
    <w:lvl w:ilvl="3">
      <w:start w:val="1"/>
      <w:numFmt w:val="decimal"/>
      <w:isLgl w:val="false"/>
      <w:suff w:val="tab"/>
      <w:lvlText w:val="%1.%2.%3.%4"/>
      <w:lvlJc w:val="left"/>
      <w:pPr>
        <w:pStyle w:val="651"/>
        <w:ind w:left="900" w:hanging="900"/>
        <w:tabs>
          <w:tab w:val="num" w:pos="900" w:leader="none"/>
        </w:tabs>
      </w:pPr>
      <w:rPr>
        <w:rFonts w:hint="eastAsia"/>
      </w:rPr>
    </w:lvl>
    <w:lvl w:ilvl="4">
      <w:start w:val="1"/>
      <w:numFmt w:val="decimal"/>
      <w:isLgl w:val="false"/>
      <w:suff w:val="tab"/>
      <w:lvlText w:val="%1.%2.%3.%4.%5"/>
      <w:lvlJc w:val="left"/>
      <w:pPr>
        <w:pStyle w:val="651"/>
        <w:ind w:left="900" w:hanging="900"/>
        <w:tabs>
          <w:tab w:val="num" w:pos="900" w:leader="none"/>
        </w:tabs>
      </w:pPr>
      <w:rPr>
        <w:rFonts w:hint="eastAsia"/>
      </w:rPr>
    </w:lvl>
    <w:lvl w:ilvl="5">
      <w:start w:val="1"/>
      <w:numFmt w:val="decimal"/>
      <w:isLgl w:val="false"/>
      <w:suff w:val="tab"/>
      <w:lvlText w:val="%1.%2.%3.%4.%5.%6"/>
      <w:lvlJc w:val="left"/>
      <w:pPr>
        <w:pStyle w:val="651"/>
        <w:ind w:left="900" w:hanging="900"/>
        <w:tabs>
          <w:tab w:val="num" w:pos="900" w:leader="none"/>
        </w:tabs>
      </w:pPr>
      <w:rPr>
        <w:rFonts w:hint="eastAsia"/>
      </w:rPr>
    </w:lvl>
    <w:lvl w:ilvl="6">
      <w:start w:val="1"/>
      <w:numFmt w:val="decimal"/>
      <w:isLgl w:val="false"/>
      <w:suff w:val="tab"/>
      <w:lvlText w:val="%1.%2.%3.%4.%5.%6.%7"/>
      <w:lvlJc w:val="left"/>
      <w:pPr>
        <w:pStyle w:val="651"/>
        <w:ind w:left="900" w:hanging="900"/>
        <w:tabs>
          <w:tab w:val="num" w:pos="900" w:leader="none"/>
        </w:tabs>
      </w:pPr>
      <w:rPr>
        <w:rFonts w:hint="eastAsia"/>
      </w:rPr>
    </w:lvl>
    <w:lvl w:ilvl="7">
      <w:start w:val="1"/>
      <w:numFmt w:val="decimal"/>
      <w:isLgl w:val="false"/>
      <w:suff w:val="tab"/>
      <w:lvlText w:val="%1.%2.%3.%4.%5.%6.%7.%8"/>
      <w:lvlJc w:val="left"/>
      <w:pPr>
        <w:pStyle w:val="651"/>
        <w:ind w:left="900" w:hanging="900"/>
        <w:tabs>
          <w:tab w:val="num" w:pos="900" w:leader="none"/>
        </w:tabs>
      </w:pPr>
      <w:rPr>
        <w:rFonts w:hint="eastAsia"/>
      </w:rPr>
    </w:lvl>
    <w:lvl w:ilvl="8">
      <w:start w:val="1"/>
      <w:numFmt w:val="decimal"/>
      <w:isLgl w:val="false"/>
      <w:suff w:val="tab"/>
      <w:lvlText w:val="%1.%2.%3.%4.%5.%6.%7.%8.%9"/>
      <w:lvlJc w:val="left"/>
      <w:pPr>
        <w:pStyle w:val="651"/>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12"/>
  </w:num>
  <w:num w:numId="9">
    <w:abstractNumId w:val="7"/>
  </w:num>
  <w:num w:numId="10">
    <w:abstractNumId w:val="11"/>
  </w:num>
  <w:num w:numId="11">
    <w:abstractNumId w:val="1"/>
  </w:num>
  <w:num w:numId="12">
    <w:abstractNumId w:val="10"/>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szCs w:val="24"/>
      <w:lang w:val="en-US" w:eastAsia="zh-CN" w:bidi="ar-SA"/>
    </w:rPr>
  </w:style>
  <w:style w:type="paragraph" w:styleId="652">
    <w:name w:val="标题 1"/>
    <w:basedOn w:val="651"/>
    <w:next w:val="651"/>
    <w:link w:val="663"/>
    <w:qFormat/>
    <w:pPr>
      <w:jc w:val="center"/>
      <w:keepLines/>
      <w:keepNext/>
      <w:spacing w:before="240" w:after="120" w:line="300" w:lineRule="auto"/>
      <w:outlineLvl w:val="0"/>
    </w:pPr>
    <w:rPr>
      <w:rFonts w:ascii="宋体"/>
      <w:b/>
      <w:sz w:val="32"/>
      <w:szCs w:val="20"/>
    </w:rPr>
  </w:style>
  <w:style w:type="paragraph" w:styleId="653">
    <w:name w:val="标题 2"/>
    <w:basedOn w:val="651"/>
    <w:next w:val="651"/>
    <w:link w:val="664"/>
    <w:qFormat/>
    <w:pPr>
      <w:jc w:val="center"/>
      <w:keepLines/>
      <w:keepNext/>
      <w:spacing w:before="120" w:line="300" w:lineRule="auto"/>
      <w:outlineLvl w:val="1"/>
    </w:pPr>
    <w:rPr>
      <w:rFonts w:ascii="Arial" w:hAnsi="Arial" w:eastAsia="黑体"/>
      <w:b/>
      <w:sz w:val="30"/>
      <w:szCs w:val="20"/>
    </w:rPr>
  </w:style>
  <w:style w:type="paragraph" w:styleId="654">
    <w:name w:val="标题 3"/>
    <w:basedOn w:val="651"/>
    <w:next w:val="651"/>
    <w:link w:val="665"/>
    <w:qFormat/>
    <w:pPr>
      <w:jc w:val="left"/>
      <w:keepLines/>
      <w:keepNext/>
      <w:spacing w:before="360" w:after="120"/>
      <w:outlineLvl w:val="2"/>
    </w:pPr>
    <w:rPr>
      <w:rFonts w:ascii="宋体"/>
      <w:b/>
      <w:sz w:val="24"/>
      <w:szCs w:val="20"/>
      <w:u w:val="single"/>
    </w:rPr>
  </w:style>
  <w:style w:type="paragraph" w:styleId="655">
    <w:name w:val="标题 4"/>
    <w:basedOn w:val="651"/>
    <w:next w:val="651"/>
    <w:link w:val="666"/>
    <w:qFormat/>
    <w:pPr>
      <w:keepLines/>
      <w:keepNext/>
      <w:spacing w:before="280" w:after="290" w:line="376" w:lineRule="atLeast"/>
      <w:outlineLvl w:val="3"/>
    </w:pPr>
    <w:rPr>
      <w:rFonts w:ascii="Arial" w:hAnsi="Arial" w:eastAsia="黑体"/>
      <w:b/>
      <w:sz w:val="28"/>
      <w:szCs w:val="20"/>
    </w:rPr>
  </w:style>
  <w:style w:type="paragraph" w:styleId="656">
    <w:name w:val="标题 5"/>
    <w:basedOn w:val="651"/>
    <w:next w:val="651"/>
    <w:link w:val="667"/>
    <w:qFormat/>
    <w:pPr>
      <w:keepLines/>
      <w:keepNext/>
      <w:spacing w:before="280" w:after="290" w:line="376" w:lineRule="atLeast"/>
      <w:outlineLvl w:val="4"/>
    </w:pPr>
    <w:rPr>
      <w:b/>
      <w:sz w:val="28"/>
      <w:szCs w:val="20"/>
    </w:rPr>
  </w:style>
  <w:style w:type="paragraph" w:styleId="657">
    <w:name w:val="标题 6"/>
    <w:basedOn w:val="651"/>
    <w:next w:val="651"/>
    <w:link w:val="668"/>
    <w:qFormat/>
    <w:pPr>
      <w:keepLines/>
      <w:keepNext/>
      <w:spacing w:before="240" w:after="64" w:line="320" w:lineRule="atLeast"/>
      <w:outlineLvl w:val="5"/>
    </w:pPr>
    <w:rPr>
      <w:rFonts w:ascii="Arial" w:hAnsi="Arial" w:eastAsia="黑体"/>
      <w:b/>
      <w:sz w:val="24"/>
      <w:szCs w:val="20"/>
    </w:rPr>
  </w:style>
  <w:style w:type="paragraph" w:styleId="658">
    <w:name w:val="标题 7"/>
    <w:basedOn w:val="651"/>
    <w:next w:val="651"/>
    <w:link w:val="669"/>
    <w:qFormat/>
    <w:pPr>
      <w:keepLines/>
      <w:keepNext/>
      <w:spacing w:before="240" w:after="64" w:line="320" w:lineRule="atLeast"/>
      <w:outlineLvl w:val="6"/>
    </w:pPr>
    <w:rPr>
      <w:b/>
      <w:sz w:val="24"/>
      <w:szCs w:val="20"/>
    </w:rPr>
  </w:style>
  <w:style w:type="paragraph" w:styleId="659">
    <w:name w:val="标题 8"/>
    <w:basedOn w:val="651"/>
    <w:next w:val="651"/>
    <w:link w:val="670"/>
    <w:qFormat/>
    <w:pPr>
      <w:keepLines/>
      <w:keepNext/>
      <w:spacing w:before="240" w:after="64" w:line="320" w:lineRule="atLeast"/>
      <w:outlineLvl w:val="7"/>
    </w:pPr>
    <w:rPr>
      <w:rFonts w:ascii="Arial" w:hAnsi="Arial" w:eastAsia="黑体"/>
      <w:sz w:val="24"/>
      <w:szCs w:val="20"/>
    </w:rPr>
  </w:style>
  <w:style w:type="paragraph" w:styleId="660">
    <w:name w:val="标题 9"/>
    <w:basedOn w:val="651"/>
    <w:next w:val="651"/>
    <w:link w:val="671"/>
    <w:qFormat/>
    <w:pPr>
      <w:keepLines/>
      <w:keepNext/>
      <w:spacing w:before="240" w:after="64" w:line="320" w:lineRule="atLeast"/>
      <w:outlineLvl w:val="8"/>
    </w:pPr>
    <w:rPr>
      <w:rFonts w:ascii="Arial" w:hAnsi="Arial" w:eastAsia="黑体"/>
      <w:szCs w:val="20"/>
    </w:rPr>
  </w:style>
  <w:style w:type="character" w:styleId="661">
    <w:name w:val="默认段落字体"/>
    <w:next w:val="661"/>
    <w:link w:val="651"/>
    <w:uiPriority w:val="1"/>
    <w:unhideWhenUsed/>
    <w:qFormat/>
  </w:style>
  <w:style w:type="table" w:styleId="662">
    <w:name w:val="普通表格"/>
    <w:next w:val="662"/>
    <w:link w:val="651"/>
    <w:uiPriority w:val="99"/>
    <w:unhideWhenUsed/>
    <w:qFormat/>
    <w:tblPr/>
  </w:style>
  <w:style w:type="character" w:styleId="663">
    <w:name w:val="标题 1 Char"/>
    <w:basedOn w:val="661"/>
    <w:next w:val="663"/>
    <w:link w:val="652"/>
    <w:qFormat/>
    <w:rPr>
      <w:rFonts w:ascii="宋体"/>
      <w:b/>
      <w:sz w:val="32"/>
    </w:rPr>
  </w:style>
  <w:style w:type="character" w:styleId="664">
    <w:name w:val="标题 2 Char1"/>
    <w:next w:val="664"/>
    <w:link w:val="653"/>
    <w:qFormat/>
    <w:rPr>
      <w:rFonts w:ascii="Arial" w:hAnsi="Arial" w:eastAsia="黑体"/>
      <w:b/>
      <w:sz w:val="30"/>
      <w:lang w:val="en-US" w:eastAsia="zh-CN" w:bidi="ar-SA"/>
    </w:rPr>
  </w:style>
  <w:style w:type="character" w:styleId="665">
    <w:name w:val="标题 3 Char1"/>
    <w:next w:val="665"/>
    <w:link w:val="654"/>
    <w:qFormat/>
    <w:rPr>
      <w:rFonts w:ascii="宋体" w:eastAsia="宋体"/>
      <w:b/>
      <w:sz w:val="24"/>
      <w:u w:val="single"/>
      <w:lang w:val="en-US" w:eastAsia="zh-CN" w:bidi="ar-SA"/>
    </w:rPr>
  </w:style>
  <w:style w:type="character" w:styleId="666">
    <w:name w:val="标题 4 Char"/>
    <w:basedOn w:val="661"/>
    <w:next w:val="666"/>
    <w:link w:val="655"/>
    <w:qFormat/>
    <w:rPr>
      <w:rFonts w:ascii="Arial" w:hAnsi="Arial" w:eastAsia="黑体"/>
      <w:b/>
      <w:sz w:val="28"/>
    </w:rPr>
  </w:style>
  <w:style w:type="character" w:styleId="667">
    <w:name w:val="标题 5 Char"/>
    <w:basedOn w:val="661"/>
    <w:next w:val="667"/>
    <w:link w:val="656"/>
    <w:qFormat/>
    <w:rPr>
      <w:b/>
      <w:sz w:val="28"/>
    </w:rPr>
  </w:style>
  <w:style w:type="character" w:styleId="668">
    <w:name w:val="标题 6 Char"/>
    <w:basedOn w:val="661"/>
    <w:next w:val="668"/>
    <w:link w:val="657"/>
    <w:qFormat/>
    <w:rPr>
      <w:rFonts w:ascii="Arial" w:hAnsi="Arial" w:eastAsia="黑体"/>
      <w:b/>
      <w:sz w:val="24"/>
    </w:rPr>
  </w:style>
  <w:style w:type="character" w:styleId="669">
    <w:name w:val="标题 7 Char"/>
    <w:basedOn w:val="661"/>
    <w:next w:val="669"/>
    <w:link w:val="658"/>
    <w:qFormat/>
    <w:rPr>
      <w:b/>
      <w:sz w:val="24"/>
    </w:rPr>
  </w:style>
  <w:style w:type="character" w:styleId="670">
    <w:name w:val="标题 8 Char"/>
    <w:basedOn w:val="661"/>
    <w:next w:val="670"/>
    <w:link w:val="659"/>
    <w:qFormat/>
    <w:rPr>
      <w:rFonts w:ascii="Arial" w:hAnsi="Arial" w:eastAsia="黑体"/>
      <w:sz w:val="24"/>
    </w:rPr>
  </w:style>
  <w:style w:type="character" w:styleId="671">
    <w:name w:val="标题 9 Char"/>
    <w:basedOn w:val="661"/>
    <w:next w:val="671"/>
    <w:link w:val="660"/>
    <w:qFormat/>
    <w:rPr>
      <w:rFonts w:ascii="Arial" w:hAnsi="Arial" w:eastAsia="黑体"/>
      <w:sz w:val="21"/>
    </w:rPr>
  </w:style>
  <w:style w:type="paragraph" w:styleId="672">
    <w:name w:val="目录 7"/>
    <w:basedOn w:val="651"/>
    <w:next w:val="651"/>
    <w:link w:val="651"/>
    <w:qFormat/>
    <w:pPr>
      <w:ind w:left="2520"/>
    </w:pPr>
  </w:style>
  <w:style w:type="paragraph" w:styleId="673">
    <w:name w:val="正文缩进"/>
    <w:basedOn w:val="651"/>
    <w:next w:val="673"/>
    <w:link w:val="674"/>
    <w:qFormat/>
    <w:pPr>
      <w:ind w:firstLine="420"/>
      <w:jc w:val="left"/>
    </w:pPr>
    <w:rPr>
      <w:rFonts w:ascii="宋体"/>
      <w:sz w:val="24"/>
    </w:rPr>
  </w:style>
  <w:style w:type="character" w:styleId="674">
    <w:name w:val="正文缩进 Char1"/>
    <w:next w:val="674"/>
    <w:link w:val="673"/>
    <w:qFormat/>
    <w:rPr>
      <w:rFonts w:ascii="宋体" w:eastAsia="宋体"/>
      <w:sz w:val="24"/>
      <w:szCs w:val="24"/>
      <w:lang w:val="en-US" w:eastAsia="zh-CN" w:bidi="ar-SA"/>
    </w:rPr>
  </w:style>
  <w:style w:type="paragraph" w:styleId="675">
    <w:name w:val="题注"/>
    <w:basedOn w:val="651"/>
    <w:next w:val="651"/>
    <w:link w:val="651"/>
    <w:qFormat/>
    <w:pPr>
      <w:spacing w:line="480" w:lineRule="auto"/>
    </w:pPr>
    <w:rPr>
      <w:rFonts w:ascii="华文中宋" w:hAnsi="华文中宋" w:eastAsia="华文中宋"/>
      <w:sz w:val="36"/>
      <w:szCs w:val="20"/>
    </w:rPr>
  </w:style>
  <w:style w:type="paragraph" w:styleId="676">
    <w:name w:val="文档结构图"/>
    <w:basedOn w:val="651"/>
    <w:next w:val="676"/>
    <w:link w:val="677"/>
    <w:qFormat/>
    <w:pPr>
      <w:shd w:val="clear" w:color="auto" w:fill="000080"/>
    </w:pPr>
  </w:style>
  <w:style w:type="character" w:styleId="677">
    <w:name w:val="文档结构图 Char"/>
    <w:basedOn w:val="661"/>
    <w:next w:val="677"/>
    <w:link w:val="676"/>
    <w:qFormat/>
    <w:rPr>
      <w:sz w:val="21"/>
      <w:szCs w:val="24"/>
      <w:shd w:val="clear" w:color="auto" w:fill="000080"/>
    </w:rPr>
  </w:style>
  <w:style w:type="paragraph" w:styleId="678">
    <w:name w:val="引文目录标题"/>
    <w:next w:val="651"/>
    <w:link w:val="651"/>
    <w:uiPriority w:val="99"/>
    <w:qFormat/>
    <w:pPr>
      <w:jc w:val="both"/>
      <w:spacing w:before="120"/>
      <w:widowControl w:val="off"/>
    </w:pPr>
    <w:rPr>
      <w:rFonts w:ascii="Cambria" w:hAnsi="Cambria" w:eastAsia="宋体" w:cs="Times New Roman"/>
      <w:sz w:val="24"/>
      <w:szCs w:val="24"/>
      <w:lang w:val="en-US" w:eastAsia="zh-CN" w:bidi="ar-SA"/>
    </w:rPr>
  </w:style>
  <w:style w:type="paragraph" w:styleId="679">
    <w:name w:val="批注文字"/>
    <w:basedOn w:val="651"/>
    <w:next w:val="679"/>
    <w:link w:val="680"/>
    <w:uiPriority w:val="99"/>
    <w:qFormat/>
    <w:pPr>
      <w:jc w:val="left"/>
    </w:pPr>
  </w:style>
  <w:style w:type="character" w:styleId="680">
    <w:name w:val="批注文字 Char1"/>
    <w:next w:val="680"/>
    <w:link w:val="679"/>
    <w:uiPriority w:val="99"/>
    <w:qFormat/>
    <w:rPr>
      <w:sz w:val="21"/>
      <w:szCs w:val="24"/>
    </w:rPr>
  </w:style>
  <w:style w:type="paragraph" w:styleId="681">
    <w:name w:val="正文文本 3"/>
    <w:basedOn w:val="651"/>
    <w:next w:val="681"/>
    <w:link w:val="682"/>
    <w:qFormat/>
    <w:pPr>
      <w:spacing w:after="120"/>
    </w:pPr>
    <w:rPr>
      <w:sz w:val="16"/>
      <w:szCs w:val="16"/>
    </w:rPr>
  </w:style>
  <w:style w:type="character" w:styleId="682">
    <w:name w:val="正文文本 3 Char"/>
    <w:basedOn w:val="661"/>
    <w:next w:val="682"/>
    <w:link w:val="681"/>
    <w:qFormat/>
    <w:rPr>
      <w:sz w:val="16"/>
      <w:szCs w:val="16"/>
    </w:rPr>
  </w:style>
  <w:style w:type="paragraph" w:styleId="683">
    <w:name w:val="正文文本"/>
    <w:basedOn w:val="651"/>
    <w:next w:val="651"/>
    <w:link w:val="684"/>
    <w:qFormat/>
    <w:pPr>
      <w:spacing w:before="120" w:line="22" w:lineRule="atLeast"/>
      <w:tabs>
        <w:tab w:val="left" w:pos="567" w:leader="none"/>
      </w:tabs>
    </w:pPr>
    <w:rPr>
      <w:rFonts w:ascii="宋体" w:hAnsi="宋体"/>
      <w:sz w:val="24"/>
    </w:rPr>
  </w:style>
  <w:style w:type="character" w:styleId="684">
    <w:name w:val="正文文本 Char"/>
    <w:basedOn w:val="661"/>
    <w:next w:val="684"/>
    <w:link w:val="683"/>
    <w:qFormat/>
    <w:rPr>
      <w:rFonts w:ascii="宋体" w:hAnsi="宋体"/>
      <w:sz w:val="24"/>
      <w:szCs w:val="24"/>
    </w:rPr>
  </w:style>
  <w:style w:type="paragraph" w:styleId="685">
    <w:name w:val="正文文本缩进"/>
    <w:basedOn w:val="651"/>
    <w:next w:val="685"/>
    <w:link w:val="686"/>
    <w:qFormat/>
    <w:pPr>
      <w:ind w:firstLine="570"/>
      <w:spacing w:line="360" w:lineRule="auto"/>
    </w:pPr>
    <w:rPr>
      <w:sz w:val="24"/>
    </w:rPr>
  </w:style>
  <w:style w:type="character" w:styleId="686">
    <w:name w:val="正文文本缩进 Char2"/>
    <w:next w:val="686"/>
    <w:link w:val="685"/>
    <w:qFormat/>
    <w:rPr>
      <w:rFonts w:eastAsia="宋体"/>
      <w:sz w:val="24"/>
      <w:szCs w:val="24"/>
      <w:lang w:val="en-US" w:eastAsia="zh-CN" w:bidi="ar-SA"/>
    </w:rPr>
  </w:style>
  <w:style w:type="paragraph" w:styleId="687">
    <w:name w:val="列表 2"/>
    <w:basedOn w:val="651"/>
    <w:next w:val="687"/>
    <w:link w:val="651"/>
    <w:qFormat/>
    <w:pPr>
      <w:ind w:left="100" w:hanging="200"/>
    </w:pPr>
  </w:style>
  <w:style w:type="paragraph" w:styleId="688">
    <w:name w:val="文本块"/>
    <w:basedOn w:val="651"/>
    <w:next w:val="688"/>
    <w:link w:val="651"/>
    <w:qFormat/>
    <w:pPr>
      <w:ind w:left="480" w:right="-341" w:firstLine="513"/>
      <w:widowControl/>
    </w:pPr>
    <w:rPr>
      <w:sz w:val="24"/>
      <w:szCs w:val="20"/>
    </w:rPr>
  </w:style>
  <w:style w:type="paragraph" w:styleId="689">
    <w:name w:val="目录 5"/>
    <w:basedOn w:val="651"/>
    <w:next w:val="651"/>
    <w:link w:val="651"/>
    <w:qFormat/>
    <w:pPr>
      <w:ind w:left="1680"/>
    </w:pPr>
  </w:style>
  <w:style w:type="paragraph" w:styleId="690">
    <w:name w:val="目录 3"/>
    <w:basedOn w:val="651"/>
    <w:next w:val="651"/>
    <w:link w:val="651"/>
    <w:uiPriority w:val="39"/>
    <w:qFormat/>
    <w:pPr>
      <w:ind w:left="840"/>
    </w:pPr>
  </w:style>
  <w:style w:type="paragraph" w:styleId="691">
    <w:name w:val="纯文本"/>
    <w:basedOn w:val="651"/>
    <w:next w:val="691"/>
    <w:link w:val="692"/>
    <w:qFormat/>
    <w:rPr>
      <w:rFonts w:hint="eastAsia" w:ascii="宋体" w:hAnsi="Courier New"/>
      <w:szCs w:val="20"/>
    </w:rPr>
  </w:style>
  <w:style w:type="character" w:styleId="692">
    <w:name w:val="纯文本 Char"/>
    <w:basedOn w:val="661"/>
    <w:next w:val="692"/>
    <w:link w:val="691"/>
    <w:qFormat/>
    <w:rPr>
      <w:rFonts w:hint="eastAsia" w:ascii="宋体" w:hAnsi="Courier New" w:eastAsia="宋体" w:cs="宋体"/>
      <w:sz w:val="21"/>
    </w:rPr>
  </w:style>
  <w:style w:type="paragraph" w:styleId="693">
    <w:name w:val="目录 8"/>
    <w:basedOn w:val="651"/>
    <w:next w:val="651"/>
    <w:link w:val="651"/>
    <w:qFormat/>
    <w:pPr>
      <w:ind w:left="2940"/>
    </w:pPr>
  </w:style>
  <w:style w:type="paragraph" w:styleId="694">
    <w:name w:val="日期"/>
    <w:basedOn w:val="651"/>
    <w:next w:val="651"/>
    <w:link w:val="695"/>
    <w:qFormat/>
    <w:pPr>
      <w:ind w:left="100"/>
    </w:pPr>
    <w:rPr>
      <w:rFonts w:ascii="仿宋_GB2312" w:hAnsi="宋体" w:eastAsia="仿宋_GB2312"/>
      <w:color w:val="000000"/>
      <w:sz w:val="24"/>
    </w:rPr>
  </w:style>
  <w:style w:type="character" w:styleId="695">
    <w:name w:val="日期 Char"/>
    <w:basedOn w:val="661"/>
    <w:next w:val="695"/>
    <w:link w:val="694"/>
    <w:qFormat/>
    <w:rPr>
      <w:rFonts w:ascii="仿宋_GB2312" w:hAnsi="宋体" w:eastAsia="仿宋_GB2312"/>
      <w:color w:val="000000"/>
      <w:sz w:val="24"/>
      <w:szCs w:val="24"/>
    </w:rPr>
  </w:style>
  <w:style w:type="paragraph" w:styleId="696">
    <w:name w:val="正文文本缩进 2"/>
    <w:basedOn w:val="651"/>
    <w:next w:val="696"/>
    <w:link w:val="697"/>
    <w:qFormat/>
    <w:pPr>
      <w:ind w:firstLine="480"/>
    </w:pPr>
    <w:rPr>
      <w:rFonts w:ascii="仿宋_GB2312" w:eastAsia="仿宋_GB2312"/>
      <w:sz w:val="24"/>
    </w:rPr>
  </w:style>
  <w:style w:type="character" w:styleId="697">
    <w:name w:val="正文文本缩进 2 Char"/>
    <w:basedOn w:val="661"/>
    <w:next w:val="697"/>
    <w:link w:val="696"/>
    <w:qFormat/>
    <w:rPr>
      <w:rFonts w:ascii="仿宋_GB2312" w:eastAsia="仿宋_GB2312"/>
      <w:sz w:val="24"/>
      <w:szCs w:val="24"/>
    </w:rPr>
  </w:style>
  <w:style w:type="paragraph" w:styleId="698">
    <w:name w:val="批注框文本"/>
    <w:basedOn w:val="651"/>
    <w:next w:val="698"/>
    <w:link w:val="699"/>
    <w:qFormat/>
    <w:rPr>
      <w:sz w:val="18"/>
      <w:szCs w:val="18"/>
    </w:rPr>
  </w:style>
  <w:style w:type="character" w:styleId="699">
    <w:name w:val="批注框文本 Char"/>
    <w:basedOn w:val="661"/>
    <w:next w:val="699"/>
    <w:link w:val="698"/>
    <w:qFormat/>
    <w:rPr>
      <w:sz w:val="18"/>
      <w:szCs w:val="18"/>
    </w:rPr>
  </w:style>
  <w:style w:type="paragraph" w:styleId="700">
    <w:name w:val="页脚"/>
    <w:basedOn w:val="651"/>
    <w:next w:val="700"/>
    <w:link w:val="701"/>
    <w:uiPriority w:val="99"/>
    <w:qFormat/>
    <w:pPr>
      <w:jc w:val="left"/>
      <w:tabs>
        <w:tab w:val="center" w:pos="4153" w:leader="none"/>
        <w:tab w:val="right" w:pos="8306" w:leader="none"/>
      </w:tabs>
    </w:pPr>
    <w:rPr>
      <w:rFonts w:ascii="宋体"/>
      <w:sz w:val="18"/>
      <w:szCs w:val="20"/>
    </w:rPr>
  </w:style>
  <w:style w:type="character" w:styleId="701">
    <w:name w:val="页脚 Char1"/>
    <w:next w:val="701"/>
    <w:link w:val="700"/>
    <w:uiPriority w:val="99"/>
    <w:qFormat/>
    <w:rPr>
      <w:rFonts w:ascii="宋体" w:eastAsia="宋体"/>
      <w:sz w:val="18"/>
      <w:lang w:val="en-US" w:eastAsia="zh-CN" w:bidi="ar-SA"/>
    </w:rPr>
  </w:style>
  <w:style w:type="paragraph" w:styleId="702">
    <w:name w:val="页眉"/>
    <w:basedOn w:val="651"/>
    <w:next w:val="702"/>
    <w:link w:val="703"/>
    <w:qFormat/>
    <w:pPr>
      <w:jc w:val="center"/>
      <w:tabs>
        <w:tab w:val="center" w:pos="4153" w:leader="none"/>
        <w:tab w:val="right" w:pos="8306" w:leader="none"/>
      </w:tabs>
      <w:pBdr>
        <w:bottom w:val="single" w:color="000000" w:sz="6" w:space="1"/>
      </w:pBdr>
    </w:pPr>
    <w:rPr>
      <w:sz w:val="18"/>
      <w:szCs w:val="18"/>
    </w:rPr>
  </w:style>
  <w:style w:type="character" w:styleId="703">
    <w:name w:val="页眉 Char1"/>
    <w:next w:val="703"/>
    <w:link w:val="702"/>
    <w:qFormat/>
    <w:rPr>
      <w:rFonts w:eastAsia="宋体"/>
      <w:sz w:val="18"/>
      <w:szCs w:val="18"/>
      <w:lang w:val="en-US" w:eastAsia="zh-CN" w:bidi="ar-SA"/>
    </w:rPr>
  </w:style>
  <w:style w:type="paragraph" w:styleId="704">
    <w:name w:val="目录 1"/>
    <w:basedOn w:val="651"/>
    <w:next w:val="651"/>
    <w:link w:val="651"/>
    <w:uiPriority w:val="39"/>
    <w:qFormat/>
    <w:pPr>
      <w:spacing w:line="300" w:lineRule="auto"/>
      <w:tabs>
        <w:tab w:val="left" w:pos="1050" w:leader="none"/>
        <w:tab w:val="right" w:pos="8937" w:leader="dot"/>
      </w:tabs>
    </w:pPr>
    <w:rPr>
      <w:rFonts w:ascii="宋体" w:hAnsi="宋体"/>
      <w:b/>
      <w:sz w:val="24"/>
    </w:rPr>
  </w:style>
  <w:style w:type="paragraph" w:styleId="705">
    <w:name w:val="目录 4"/>
    <w:basedOn w:val="651"/>
    <w:next w:val="651"/>
    <w:link w:val="651"/>
    <w:qFormat/>
    <w:pPr>
      <w:ind w:left="1260"/>
    </w:pPr>
  </w:style>
  <w:style w:type="paragraph" w:styleId="706">
    <w:name w:val="目录 6"/>
    <w:basedOn w:val="651"/>
    <w:next w:val="651"/>
    <w:link w:val="651"/>
    <w:qFormat/>
    <w:pPr>
      <w:ind w:left="2100"/>
    </w:pPr>
  </w:style>
  <w:style w:type="paragraph" w:styleId="707">
    <w:name w:val="正文文本缩进 3"/>
    <w:basedOn w:val="651"/>
    <w:next w:val="707"/>
    <w:link w:val="708"/>
    <w:qFormat/>
    <w:pPr>
      <w:ind w:left="720" w:firstLine="480"/>
      <w:jc w:val="left"/>
      <w:spacing w:before="120" w:line="22" w:lineRule="atLeast"/>
    </w:pPr>
    <w:rPr>
      <w:rFonts w:ascii="宋体"/>
      <w:sz w:val="24"/>
      <w:szCs w:val="20"/>
    </w:rPr>
  </w:style>
  <w:style w:type="character" w:styleId="708">
    <w:name w:val="正文文本缩进 3 Char"/>
    <w:basedOn w:val="661"/>
    <w:next w:val="708"/>
    <w:link w:val="707"/>
    <w:qFormat/>
    <w:rPr>
      <w:rFonts w:ascii="宋体"/>
      <w:sz w:val="24"/>
    </w:rPr>
  </w:style>
  <w:style w:type="paragraph" w:styleId="709">
    <w:name w:val="目录 2"/>
    <w:basedOn w:val="651"/>
    <w:next w:val="651"/>
    <w:link w:val="651"/>
    <w:uiPriority w:val="39"/>
    <w:qFormat/>
    <w:pPr>
      <w:ind w:left="420"/>
      <w:spacing w:line="312" w:lineRule="auto"/>
      <w:tabs>
        <w:tab w:val="right" w:pos="8937" w:leader="dot"/>
      </w:tabs>
    </w:pPr>
  </w:style>
  <w:style w:type="paragraph" w:styleId="710">
    <w:name w:val="目录 9"/>
    <w:basedOn w:val="651"/>
    <w:next w:val="651"/>
    <w:link w:val="651"/>
    <w:qFormat/>
    <w:pPr>
      <w:ind w:left="3360"/>
    </w:pPr>
  </w:style>
  <w:style w:type="paragraph" w:styleId="711">
    <w:name w:val="HTML 预设格式"/>
    <w:basedOn w:val="651"/>
    <w:next w:val="711"/>
    <w:link w:val="7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12">
    <w:name w:val="HTML 预设格式 Char"/>
    <w:basedOn w:val="661"/>
    <w:next w:val="712"/>
    <w:link w:val="711"/>
    <w:qFormat/>
    <w:rPr>
      <w:rFonts w:ascii="宋体" w:hAnsi="宋体" w:cs="宋体"/>
      <w:sz w:val="24"/>
      <w:szCs w:val="24"/>
    </w:rPr>
  </w:style>
  <w:style w:type="paragraph" w:styleId="713">
    <w:name w:val="普通(网站)"/>
    <w:basedOn w:val="651"/>
    <w:next w:val="713"/>
    <w:link w:val="651"/>
    <w:uiPriority w:val="99"/>
    <w:unhideWhenUsed/>
    <w:qFormat/>
    <w:pPr>
      <w:jc w:val="left"/>
      <w:spacing w:before="100" w:beforeAutospacing="1" w:after="100" w:afterAutospacing="1"/>
      <w:widowControl/>
    </w:pPr>
    <w:rPr>
      <w:rFonts w:ascii="宋体" w:hAnsi="宋体" w:cs="宋体"/>
      <w:sz w:val="24"/>
    </w:rPr>
  </w:style>
  <w:style w:type="paragraph" w:styleId="714">
    <w:name w:val="索引 1"/>
    <w:basedOn w:val="651"/>
    <w:next w:val="651"/>
    <w:link w:val="651"/>
    <w:qFormat/>
    <w:rPr>
      <w:szCs w:val="20"/>
    </w:rPr>
  </w:style>
  <w:style w:type="paragraph" w:styleId="715">
    <w:name w:val="标题"/>
    <w:basedOn w:val="651"/>
    <w:next w:val="715"/>
    <w:link w:val="716"/>
    <w:qFormat/>
    <w:pPr>
      <w:jc w:val="center"/>
      <w:outlineLvl w:val="0"/>
    </w:pPr>
    <w:rPr>
      <w:b/>
      <w:sz w:val="32"/>
      <w:szCs w:val="20"/>
    </w:rPr>
  </w:style>
  <w:style w:type="character" w:styleId="716">
    <w:name w:val="标题 Char1"/>
    <w:next w:val="716"/>
    <w:link w:val="715"/>
    <w:qFormat/>
    <w:rPr>
      <w:b/>
      <w:sz w:val="32"/>
    </w:rPr>
  </w:style>
  <w:style w:type="paragraph" w:styleId="717">
    <w:name w:val="批注主题"/>
    <w:basedOn w:val="679"/>
    <w:next w:val="679"/>
    <w:link w:val="718"/>
    <w:qFormat/>
    <w:rPr>
      <w:b/>
      <w:bCs/>
    </w:rPr>
  </w:style>
  <w:style w:type="character" w:styleId="718">
    <w:name w:val="批注主题 Char"/>
    <w:basedOn w:val="719"/>
    <w:next w:val="718"/>
    <w:link w:val="717"/>
    <w:qFormat/>
    <w:rPr>
      <w:rFonts w:ascii="Times New Roman" w:hAnsi="Times New Roman" w:eastAsia="宋体" w:cs="Times New Roman"/>
      <w:b/>
      <w:bCs/>
      <w:sz w:val="21"/>
      <w:szCs w:val="24"/>
      <w:lang w:val="en-US" w:eastAsia="zh-CN" w:bidi="ar-SA"/>
    </w:rPr>
  </w:style>
  <w:style w:type="character" w:styleId="719">
    <w:name w:val="批注文字 字符"/>
    <w:next w:val="719"/>
    <w:link w:val="651"/>
    <w:uiPriority w:val="99"/>
    <w:qFormat/>
    <w:rPr>
      <w:rFonts w:ascii="Times New Roman" w:hAnsi="Times New Roman" w:eastAsia="宋体" w:cs="Times New Roman"/>
      <w:sz w:val="24"/>
      <w:lang w:val="en-US" w:eastAsia="zh-CN" w:bidi="ar-SA"/>
    </w:rPr>
  </w:style>
  <w:style w:type="paragraph" w:styleId="720">
    <w:name w:val="正文首行缩进 2"/>
    <w:basedOn w:val="685"/>
    <w:next w:val="720"/>
    <w:link w:val="721"/>
    <w:qFormat/>
    <w:pPr>
      <w:ind w:left="420" w:firstLine="420"/>
      <w:spacing w:after="120" w:line="480" w:lineRule="exact"/>
    </w:pPr>
    <w:rPr>
      <w:szCs w:val="20"/>
    </w:rPr>
  </w:style>
  <w:style w:type="character" w:styleId="721">
    <w:name w:val="正文首行缩进 2 Char"/>
    <w:basedOn w:val="686"/>
    <w:next w:val="721"/>
    <w:link w:val="720"/>
    <w:qFormat/>
    <w:rPr>
      <w:rFonts w:eastAsia="宋体"/>
      <w:sz w:val="24"/>
      <w:szCs w:val="24"/>
      <w:lang w:val="en-US" w:eastAsia="zh-CN" w:bidi="ar-SA"/>
    </w:rPr>
  </w:style>
  <w:style w:type="table" w:styleId="722">
    <w:name w:val="网格型"/>
    <w:basedOn w:val="662"/>
    <w:next w:val="722"/>
    <w:link w:val="651"/>
    <w:uiPriority w:val="39"/>
    <w:qFormat/>
    <w:tblPr/>
  </w:style>
  <w:style w:type="table" w:styleId="723">
    <w:name w:val="中等深浅网格 1 - 强调文字颜色 2"/>
    <w:basedOn w:val="662"/>
    <w:next w:val="723"/>
    <w:link w:val="651"/>
    <w:qFormat/>
    <w:rPr>
      <w:sz w:val="21"/>
      <w:szCs w:val="24"/>
    </w:rPr>
    <w:tblPr/>
  </w:style>
  <w:style w:type="character" w:styleId="724">
    <w:name w:val="要点"/>
    <w:next w:val="724"/>
    <w:link w:val="651"/>
    <w:qFormat/>
    <w:rPr>
      <w:b/>
      <w:bCs/>
    </w:rPr>
  </w:style>
  <w:style w:type="character" w:styleId="725">
    <w:name w:val="页码"/>
    <w:basedOn w:val="661"/>
    <w:next w:val="725"/>
    <w:link w:val="651"/>
    <w:qFormat/>
  </w:style>
  <w:style w:type="character" w:styleId="726">
    <w:name w:val="已访问的超链接"/>
    <w:next w:val="726"/>
    <w:link w:val="651"/>
    <w:qFormat/>
    <w:rPr>
      <w:color w:val="800080"/>
      <w:u w:val="single"/>
    </w:rPr>
  </w:style>
  <w:style w:type="character" w:styleId="727">
    <w:name w:val="强调"/>
    <w:next w:val="727"/>
    <w:link w:val="651"/>
    <w:qFormat/>
    <w:rPr>
      <w:color w:val="cc0033"/>
    </w:rPr>
  </w:style>
  <w:style w:type="character" w:styleId="728">
    <w:name w:val="超链接"/>
    <w:next w:val="728"/>
    <w:link w:val="651"/>
    <w:uiPriority w:val="99"/>
    <w:qFormat/>
    <w:rPr>
      <w:color w:val="0000ff"/>
      <w:u w:val="single"/>
    </w:rPr>
  </w:style>
  <w:style w:type="character" w:styleId="729">
    <w:name w:val="批注引用"/>
    <w:next w:val="729"/>
    <w:link w:val="651"/>
    <w:uiPriority w:val="99"/>
    <w:qFormat/>
    <w:rPr>
      <w:sz w:val="21"/>
      <w:szCs w:val="21"/>
    </w:rPr>
  </w:style>
  <w:style w:type="character" w:styleId="730">
    <w:name w:val="HTML 引文"/>
    <w:next w:val="730"/>
    <w:link w:val="651"/>
    <w:qFormat/>
    <w:rPr>
      <w:i/>
      <w:iCs/>
    </w:rPr>
  </w:style>
  <w:style w:type="character" w:styleId="731">
    <w:name w:val="标题 3 Char"/>
    <w:next w:val="731"/>
    <w:link w:val="654"/>
    <w:qFormat/>
    <w:rPr>
      <w:rFonts w:ascii="宋体" w:eastAsia="宋体"/>
      <w:b/>
      <w:sz w:val="24"/>
      <w:u w:val="single"/>
      <w:lang w:val="en-US" w:eastAsia="zh-CN" w:bidi="ar-SA"/>
    </w:rPr>
  </w:style>
  <w:style w:type="character" w:styleId="732">
    <w:name w:val="强调1"/>
    <w:next w:val="732"/>
    <w:link w:val="651"/>
    <w:qFormat/>
    <w:rPr>
      <w:sz w:val="21"/>
      <w:szCs w:val="24"/>
      <w:lang w:val="en-US" w:eastAsia="zh-CN" w:bidi="ar-SA"/>
    </w:rPr>
  </w:style>
  <w:style w:type="character" w:styleId="733">
    <w:name w:val="要点1"/>
    <w:next w:val="733"/>
    <w:link w:val="651"/>
    <w:qFormat/>
    <w:rPr>
      <w:sz w:val="21"/>
      <w:szCs w:val="24"/>
      <w:lang w:val="en-US" w:eastAsia="zh-CN" w:bidi="ar-SA"/>
    </w:rPr>
  </w:style>
  <w:style w:type="paragraph" w:styleId="734">
    <w:name w:val="正文缩进1"/>
    <w:basedOn w:val="651"/>
    <w:next w:val="734"/>
    <w:link w:val="735"/>
    <w:qFormat/>
    <w:pPr>
      <w:ind w:firstLine="567"/>
      <w:spacing w:line="480" w:lineRule="exact"/>
      <w:widowControl/>
    </w:pPr>
    <w:rPr>
      <w:rFonts w:ascii="宋体"/>
      <w:color w:val="000000"/>
      <w:sz w:val="28"/>
      <w:szCs w:val="20"/>
    </w:rPr>
  </w:style>
  <w:style w:type="character" w:styleId="735">
    <w:name w:val="正文缩进 Char Char"/>
    <w:next w:val="735"/>
    <w:link w:val="734"/>
    <w:qFormat/>
    <w:rPr>
      <w:rFonts w:ascii="宋体" w:eastAsia="宋体"/>
      <w:color w:val="000000"/>
      <w:sz w:val="28"/>
      <w:lang w:bidi="ar-SA"/>
    </w:rPr>
  </w:style>
  <w:style w:type="paragraph" w:styleId="736">
    <w:name w:val="TOAHeading1"/>
    <w:basedOn w:val="651"/>
    <w:next w:val="651"/>
    <w:link w:val="651"/>
    <w:qFormat/>
    <w:pPr>
      <w:spacing w:before="120"/>
    </w:pPr>
    <w:rPr>
      <w:rFonts w:ascii="Cambria" w:hAnsi="Cambria"/>
      <w:sz w:val="24"/>
      <w:szCs w:val="24"/>
    </w:rPr>
  </w:style>
  <w:style w:type="paragraph" w:styleId="737">
    <w:name w:val="AONormal"/>
    <w:next w:val="737"/>
    <w:link w:val="651"/>
    <w:qFormat/>
    <w:pPr>
      <w:ind w:firstLine="440"/>
      <w:spacing w:line="400" w:lineRule="exact"/>
    </w:pPr>
    <w:rPr>
      <w:rFonts w:ascii="华文楷体" w:hAnsi="华文楷体" w:eastAsia="华文楷体" w:cs="华文楷体"/>
      <w:sz w:val="22"/>
      <w:szCs w:val="21"/>
      <w:lang w:val="en-US" w:eastAsia="zh-CN" w:bidi="ar-SA"/>
    </w:rPr>
  </w:style>
  <w:style w:type="paragraph" w:styleId="738">
    <w:name w:val="Default"/>
    <w:next w:val="738"/>
    <w:link w:val="651"/>
    <w:qFormat/>
    <w:pPr>
      <w:widowControl w:val="off"/>
    </w:pPr>
    <w:rPr>
      <w:rFonts w:ascii="Symbol" w:hAnsi="Symbol" w:cs="Symbol"/>
      <w:color w:val="000000"/>
      <w:sz w:val="24"/>
      <w:szCs w:val="24"/>
      <w:lang w:val="en-US" w:eastAsia="zh-CN" w:bidi="ar-SA"/>
    </w:rPr>
  </w:style>
  <w:style w:type="character" w:styleId="739">
    <w:name w:val="c21"/>
    <w:next w:val="739"/>
    <w:link w:val="651"/>
    <w:qFormat/>
    <w:rPr>
      <w:rFonts w:ascii="ˎ̥" w:hAnsi="ˎ̥"/>
      <w:color w:val="000000"/>
      <w:sz w:val="20"/>
      <w:szCs w:val="20"/>
      <w:u w:val="none"/>
    </w:rPr>
  </w:style>
  <w:style w:type="character" w:styleId="740">
    <w:name w:val="title4"/>
    <w:next w:val="740"/>
    <w:link w:val="651"/>
    <w:qFormat/>
    <w:rPr>
      <w:b/>
      <w:bCs/>
      <w:color w:val="1d87b3"/>
      <w:sz w:val="15"/>
      <w:szCs w:val="15"/>
    </w:rPr>
  </w:style>
  <w:style w:type="character" w:styleId="741">
    <w:name w:val="标题 2 Char Char"/>
    <w:next w:val="741"/>
    <w:link w:val="651"/>
    <w:qFormat/>
    <w:rPr>
      <w:rFonts w:ascii="Arial" w:hAnsi="Arial" w:eastAsia="黑体"/>
      <w:b/>
      <w:bCs/>
      <w:sz w:val="32"/>
      <w:szCs w:val="32"/>
      <w:lang w:val="en-US" w:eastAsia="zh-CN" w:bidi="ar-SA"/>
    </w:rPr>
  </w:style>
  <w:style w:type="character" w:styleId="742">
    <w:name w:val="black1"/>
    <w:next w:val="742"/>
    <w:link w:val="651"/>
    <w:qFormat/>
    <w:rPr>
      <w:color w:val="000000"/>
    </w:rPr>
  </w:style>
  <w:style w:type="character" w:styleId="743">
    <w:name w:val="street-address"/>
    <w:basedOn w:val="661"/>
    <w:next w:val="743"/>
    <w:link w:val="651"/>
    <w:qFormat/>
  </w:style>
  <w:style w:type="character" w:styleId="744">
    <w:name w:val="locality"/>
    <w:basedOn w:val="661"/>
    <w:next w:val="744"/>
    <w:link w:val="651"/>
    <w:qFormat/>
  </w:style>
  <w:style w:type="character" w:styleId="745">
    <w:name w:val="正文文本缩进 Char1"/>
    <w:next w:val="745"/>
    <w:link w:val="746"/>
    <w:qFormat/>
    <w:rPr>
      <w:rFonts w:ascii="宋体" w:hAnsi="宋体" w:eastAsia="宋体"/>
      <w:sz w:val="24"/>
      <w:szCs w:val="24"/>
      <w:lang w:bidi="ar-SA"/>
    </w:rPr>
  </w:style>
  <w:style w:type="paragraph" w:styleId="746">
    <w:name w:val="正文文本缩进1"/>
    <w:basedOn w:val="651"/>
    <w:next w:val="746"/>
    <w:link w:val="745"/>
    <w:qFormat/>
    <w:pPr>
      <w:ind w:firstLine="480"/>
      <w:spacing w:line="480" w:lineRule="exact"/>
    </w:pPr>
    <w:rPr>
      <w:rFonts w:ascii="宋体" w:hAnsi="宋体"/>
      <w:sz w:val="24"/>
    </w:rPr>
  </w:style>
  <w:style w:type="character" w:styleId="747">
    <w:name w:val="Char Char11"/>
    <w:next w:val="747"/>
    <w:link w:val="651"/>
    <w:qFormat/>
    <w:rPr>
      <w:rFonts w:ascii="宋体" w:eastAsia="宋体"/>
      <w:b/>
      <w:sz w:val="24"/>
      <w:u w:val="single"/>
      <w:lang w:val="en-US" w:eastAsia="zh-CN" w:bidi="ar-SA"/>
    </w:rPr>
  </w:style>
  <w:style w:type="character" w:styleId="748">
    <w:name w:val="txt"/>
    <w:basedOn w:val="661"/>
    <w:next w:val="748"/>
    <w:link w:val="651"/>
    <w:qFormat/>
  </w:style>
  <w:style w:type="character" w:styleId="749">
    <w:name w:val="普通文字1 Char1"/>
    <w:next w:val="749"/>
    <w:link w:val="651"/>
    <w:qFormat/>
    <w:rPr>
      <w:rFonts w:ascii="宋体" w:hAnsi="Courier New" w:eastAsia="宋体"/>
      <w:sz w:val="21"/>
      <w:lang w:val="en-US" w:eastAsia="zh-CN" w:bidi="ar-SA"/>
    </w:rPr>
  </w:style>
  <w:style w:type="character" w:styleId="750">
    <w:name w:val="chanpin1"/>
    <w:next w:val="750"/>
    <w:link w:val="651"/>
    <w:qFormat/>
    <w:rPr>
      <w:rFonts w:ascii="ˎ̥" w:hAnsi="ˎ̥"/>
      <w:color w:val="000000"/>
      <w:sz w:val="20"/>
      <w:szCs w:val="20"/>
      <w:u w:val="none"/>
    </w:rPr>
  </w:style>
  <w:style w:type="character" w:styleId="751">
    <w:name w:val="列出段落 Char1"/>
    <w:next w:val="751"/>
    <w:link w:val="752"/>
    <w:uiPriority w:val="34"/>
    <w:qFormat/>
    <w:rPr>
      <w:rFonts w:ascii="Calibri" w:hAnsi="Calibri" w:eastAsia="宋体"/>
      <w:sz w:val="21"/>
      <w:szCs w:val="22"/>
      <w:lang w:val="en-US" w:eastAsia="zh-CN" w:bidi="ar-SA"/>
    </w:rPr>
  </w:style>
  <w:style w:type="paragraph" w:styleId="752">
    <w:name w:val="列出段落"/>
    <w:basedOn w:val="651"/>
    <w:next w:val="752"/>
    <w:link w:val="751"/>
    <w:uiPriority w:val="34"/>
    <w:qFormat/>
    <w:pPr>
      <w:ind w:firstLine="420"/>
    </w:pPr>
    <w:rPr>
      <w:rFonts w:ascii="Calibri" w:hAnsi="Calibri"/>
      <w:szCs w:val="22"/>
    </w:rPr>
  </w:style>
  <w:style w:type="character" w:styleId="753">
    <w:name w:val="标题 3 Char Char"/>
    <w:next w:val="753"/>
    <w:link w:val="651"/>
    <w:qFormat/>
    <w:rPr>
      <w:rFonts w:eastAsia="宋体"/>
      <w:b/>
      <w:bCs/>
      <w:sz w:val="32"/>
      <w:szCs w:val="32"/>
      <w:lang w:val="en-US" w:eastAsia="zh-CN" w:bidi="ar-SA"/>
    </w:rPr>
  </w:style>
  <w:style w:type="character" w:styleId="754">
    <w:name w:val="段1 Char"/>
    <w:next w:val="754"/>
    <w:link w:val="651"/>
    <w:qFormat/>
    <w:rPr>
      <w:rFonts w:ascii="宋体" w:eastAsia="宋体"/>
      <w:sz w:val="24"/>
      <w:lang w:val="en-US" w:eastAsia="zh-CN" w:bidi="ar-SA"/>
    </w:rPr>
  </w:style>
  <w:style w:type="character" w:styleId="755">
    <w:name w:val="chanpin拷贝"/>
    <w:basedOn w:val="661"/>
    <w:next w:val="755"/>
    <w:link w:val="651"/>
    <w:qFormat/>
  </w:style>
  <w:style w:type="character" w:styleId="756">
    <w:name w:val="纯文本 Char1"/>
    <w:next w:val="756"/>
    <w:link w:val="651"/>
    <w:qFormat/>
    <w:rPr>
      <w:rFonts w:ascii="宋体" w:hAnsi="Courier New" w:eastAsia="宋体"/>
      <w:sz w:val="21"/>
      <w:lang w:val="en-US" w:eastAsia="zh-CN" w:bidi="ar-SA"/>
    </w:rPr>
  </w:style>
  <w:style w:type="character" w:styleId="757">
    <w:name w:val="apple-style-span"/>
    <w:next w:val="757"/>
    <w:link w:val="651"/>
    <w:qFormat/>
    <w:rPr>
      <w:rFonts w:cs="Times New Roman"/>
    </w:rPr>
  </w:style>
  <w:style w:type="paragraph" w:styleId="758">
    <w:name w:val="二级条标题"/>
    <w:basedOn w:val="759"/>
    <w:next w:val="651"/>
    <w:link w:val="651"/>
    <w:qFormat/>
    <w:pPr>
      <w:numPr>
        <w:ilvl w:val="0"/>
        <w:numId w:val="0"/>
      </w:numPr>
      <w:ind w:hanging="840"/>
      <w:tabs>
        <w:tab w:val="left" w:pos="360" w:leader="none"/>
        <w:tab w:val="left" w:pos="840" w:leader="none"/>
      </w:tabs>
      <w:outlineLvl w:val="2"/>
    </w:pPr>
    <w:rPr>
      <w:rFonts w:ascii="宋体" w:eastAsia="宋体"/>
      <w:b w:val="0"/>
    </w:rPr>
  </w:style>
  <w:style w:type="paragraph" w:styleId="759">
    <w:name w:val="一级条标题"/>
    <w:basedOn w:val="760"/>
    <w:next w:val="651"/>
    <w:link w:val="651"/>
    <w:qFormat/>
    <w:pPr>
      <w:numPr>
        <w:ilvl w:val="1"/>
      </w:numPr>
      <w:ind w:left="0" w:hanging="840"/>
      <w:tabs>
        <w:tab w:val="left" w:pos="360" w:leader="none"/>
        <w:tab w:val="left" w:pos="840" w:leader="none"/>
      </w:tabs>
      <w:outlineLvl w:val="1"/>
    </w:pPr>
  </w:style>
  <w:style w:type="paragraph" w:styleId="760">
    <w:name w:val="章标题"/>
    <w:next w:val="651"/>
    <w:link w:val="65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761">
    <w:name w:val="font7"/>
    <w:basedOn w:val="651"/>
    <w:next w:val="761"/>
    <w:link w:val="651"/>
    <w:qFormat/>
    <w:pPr>
      <w:jc w:val="left"/>
      <w:spacing w:before="100" w:beforeAutospacing="1" w:after="100" w:afterAutospacing="1"/>
      <w:widowControl/>
    </w:pPr>
    <w:rPr>
      <w:rFonts w:eastAsia="Arial Unicode MS"/>
      <w:b/>
      <w:bCs/>
      <w:color w:val="000000"/>
      <w:sz w:val="20"/>
      <w:szCs w:val="20"/>
    </w:rPr>
  </w:style>
  <w:style w:type="paragraph" w:styleId="762">
    <w:name w:val="字元 字元"/>
    <w:basedOn w:val="651"/>
    <w:next w:val="762"/>
    <w:link w:val="651"/>
    <w:qFormat/>
    <w:rPr>
      <w:rFonts w:ascii="Tahoma" w:hAnsi="Tahoma"/>
      <w:sz w:val="24"/>
      <w:szCs w:val="20"/>
    </w:rPr>
  </w:style>
  <w:style w:type="paragraph" w:styleId="763">
    <w:name w:val="Char3 Char Char Char"/>
    <w:basedOn w:val="651"/>
    <w:next w:val="763"/>
    <w:link w:val="651"/>
    <w:qFormat/>
    <w:rPr>
      <w:rFonts w:ascii="Tahoma" w:hAnsi="Tahoma"/>
      <w:sz w:val="24"/>
      <w:szCs w:val="20"/>
    </w:rPr>
  </w:style>
  <w:style w:type="paragraph" w:styleId="764">
    <w:name w:val="font6"/>
    <w:basedOn w:val="651"/>
    <w:next w:val="764"/>
    <w:link w:val="651"/>
    <w:qFormat/>
    <w:pPr>
      <w:jc w:val="left"/>
      <w:spacing w:before="100" w:beforeAutospacing="1" w:after="100" w:afterAutospacing="1"/>
      <w:widowControl/>
    </w:pPr>
    <w:rPr>
      <w:rFonts w:ascii="宋体" w:hAnsi="宋体" w:cs="宋体"/>
      <w:sz w:val="20"/>
      <w:szCs w:val="20"/>
    </w:rPr>
  </w:style>
  <w:style w:type="paragraph" w:styleId="765">
    <w:name w:val="项目编号2"/>
    <w:basedOn w:val="766"/>
    <w:next w:val="765"/>
    <w:link w:val="651"/>
    <w:qFormat/>
    <w:pPr>
      <w:numPr>
        <w:numId w:val="3"/>
      </w:numPr>
    </w:pPr>
  </w:style>
  <w:style w:type="paragraph" w:styleId="766">
    <w:name w:val="项目编号1"/>
    <w:basedOn w:val="651"/>
    <w:next w:val="766"/>
    <w:link w:val="651"/>
    <w:qFormat/>
    <w:pPr>
      <w:numPr>
        <w:ilvl w:val="0"/>
        <w:numId w:val="2"/>
      </w:numPr>
      <w:spacing w:before="100" w:beforeAutospacing="1" w:after="100" w:afterAutospacing="1" w:line="360" w:lineRule="auto"/>
    </w:pPr>
    <w:rPr>
      <w:sz w:val="24"/>
    </w:rPr>
  </w:style>
  <w:style w:type="paragraph" w:styleId="767">
    <w:name w:val="图中文字"/>
    <w:basedOn w:val="651"/>
    <w:next w:val="767"/>
    <w:link w:val="651"/>
    <w:qFormat/>
    <w:pPr>
      <w:jc w:val="center"/>
      <w:spacing w:line="0" w:lineRule="atLeast"/>
    </w:pPr>
    <w:rPr>
      <w:sz w:val="24"/>
      <w:szCs w:val="20"/>
    </w:rPr>
  </w:style>
  <w:style w:type="paragraph" w:styleId="768">
    <w:name w:val="xl46"/>
    <w:basedOn w:val="651"/>
    <w:next w:val="768"/>
    <w:link w:val="65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69">
    <w:name w:val="xl25"/>
    <w:basedOn w:val="651"/>
    <w:next w:val="76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770">
    <w:name w:val="Char2"/>
    <w:basedOn w:val="651"/>
    <w:next w:val="770"/>
    <w:link w:val="651"/>
    <w:qFormat/>
    <w:rPr>
      <w:rFonts w:ascii="Tahoma" w:hAnsi="Tahoma"/>
      <w:sz w:val="24"/>
      <w:szCs w:val="20"/>
    </w:rPr>
  </w:style>
  <w:style w:type="paragraph" w:styleId="771">
    <w:name w:val="xl35"/>
    <w:basedOn w:val="651"/>
    <w:next w:val="771"/>
    <w:link w:val="6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2">
    <w:name w:val="xl40"/>
    <w:basedOn w:val="651"/>
    <w:next w:val="77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73">
    <w:name w:val="xl52"/>
    <w:basedOn w:val="651"/>
    <w:next w:val="773"/>
    <w:link w:val="6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774">
    <w:name w:val="xl43"/>
    <w:basedOn w:val="651"/>
    <w:next w:val="774"/>
    <w:link w:val="6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75">
    <w:name w:val="background1"/>
    <w:basedOn w:val="651"/>
    <w:next w:val="775"/>
    <w:link w:val="651"/>
    <w:qFormat/>
    <w:pPr>
      <w:jc w:val="left"/>
      <w:spacing w:before="100" w:beforeAutospacing="1" w:after="100" w:afterAutospacing="1"/>
      <w:widowControl/>
    </w:pPr>
    <w:rPr>
      <w:rFonts w:ascii="宋体" w:hAnsi="宋体" w:cs="宋体"/>
      <w:sz w:val="24"/>
    </w:rPr>
  </w:style>
  <w:style w:type="paragraph" w:styleId="776">
    <w:name w:val="Char Char Char Char Char Char Char"/>
    <w:basedOn w:val="651"/>
    <w:next w:val="776"/>
    <w:link w:val="651"/>
    <w:qFormat/>
    <w:pPr>
      <w:ind w:firstLine="200"/>
      <w:spacing w:line="360" w:lineRule="auto"/>
    </w:pPr>
    <w:rPr>
      <w:rFonts w:eastAsia="仿宋_GB2312"/>
      <w:sz w:val="24"/>
    </w:rPr>
  </w:style>
  <w:style w:type="paragraph" w:styleId="777">
    <w:name w:val="xl38"/>
    <w:basedOn w:val="651"/>
    <w:next w:val="77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778">
    <w:name w:val="xl36"/>
    <w:basedOn w:val="651"/>
    <w:next w:val="778"/>
    <w:link w:val="65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9">
    <w:name w:val="正文 + 宋体"/>
    <w:basedOn w:val="651"/>
    <w:next w:val="779"/>
    <w:link w:val="651"/>
    <w:qFormat/>
    <w:pPr>
      <w:ind w:left="360" w:hanging="360"/>
      <w:jc w:val="left"/>
      <w:widowControl/>
    </w:pPr>
    <w:rPr>
      <w:rFonts w:ascii="宋体" w:hAnsi="宋体" w:cs="宋体"/>
      <w:b/>
      <w:bCs/>
      <w:color w:val="000000"/>
      <w:sz w:val="18"/>
      <w:szCs w:val="18"/>
    </w:rPr>
  </w:style>
  <w:style w:type="paragraph" w:styleId="780">
    <w:name w:val="正文列项_数字"/>
    <w:basedOn w:val="651"/>
    <w:next w:val="780"/>
    <w:link w:val="651"/>
    <w:qFormat/>
    <w:pPr>
      <w:numPr>
        <w:ilvl w:val="7"/>
        <w:numId w:val="1"/>
      </w:numPr>
      <w:ind w:left="680" w:hanging="150"/>
      <w:spacing w:line="460" w:lineRule="exact"/>
      <w:tabs>
        <w:tab w:val="clear" w:pos="860" w:leader="none"/>
      </w:tabs>
      <w:outlineLvl w:val="7"/>
    </w:pPr>
    <w:rPr>
      <w:rFonts w:ascii="宋体"/>
      <w:sz w:val="28"/>
      <w:szCs w:val="20"/>
    </w:rPr>
  </w:style>
  <w:style w:type="paragraph" w:styleId="781">
    <w:name w:val="xl39"/>
    <w:basedOn w:val="651"/>
    <w:next w:val="78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82">
    <w:name w:val="xl37"/>
    <w:basedOn w:val="651"/>
    <w:next w:val="782"/>
    <w:link w:val="6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83">
    <w:name w:val="xl32"/>
    <w:basedOn w:val="651"/>
    <w:next w:val="783"/>
    <w:link w:val="6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84">
    <w:name w:val="font8"/>
    <w:basedOn w:val="651"/>
    <w:next w:val="784"/>
    <w:link w:val="651"/>
    <w:qFormat/>
    <w:pPr>
      <w:jc w:val="left"/>
      <w:spacing w:before="100" w:beforeAutospacing="1" w:after="100" w:afterAutospacing="1"/>
      <w:widowControl/>
    </w:pPr>
    <w:rPr>
      <w:sz w:val="36"/>
      <w:szCs w:val="36"/>
    </w:rPr>
  </w:style>
  <w:style w:type="paragraph" w:styleId="785">
    <w:name w:val="Char"/>
    <w:basedOn w:val="651"/>
    <w:next w:val="785"/>
    <w:link w:val="651"/>
    <w:qFormat/>
    <w:pPr>
      <w:tabs>
        <w:tab w:val="left" w:pos="360" w:leader="none"/>
      </w:tabs>
    </w:pPr>
    <w:rPr>
      <w:sz w:val="24"/>
    </w:rPr>
  </w:style>
  <w:style w:type="paragraph" w:styleId="786">
    <w:name w:val="Char Char Char Char Char Char Char Char Char Char Char Char Char Char Char Char"/>
    <w:basedOn w:val="651"/>
    <w:next w:val="786"/>
    <w:link w:val="651"/>
    <w:qFormat/>
    <w:pPr>
      <w:jc w:val="center"/>
      <w:spacing w:after="160" w:line="240" w:lineRule="exact"/>
      <w:widowControl/>
    </w:pPr>
    <w:rPr>
      <w:rFonts w:ascii="宋体" w:hAnsi="宋体"/>
      <w:b/>
      <w:sz w:val="30"/>
      <w:szCs w:val="30"/>
      <w:lang w:eastAsia="en-US"/>
    </w:rPr>
  </w:style>
  <w:style w:type="paragraph" w:styleId="787">
    <w:name w:val="xl45"/>
    <w:basedOn w:val="651"/>
    <w:next w:val="787"/>
    <w:link w:val="6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88">
    <w:name w:val="Char Char1 Char Char Char Char Char Char"/>
    <w:basedOn w:val="651"/>
    <w:next w:val="788"/>
    <w:link w:val="651"/>
    <w:qFormat/>
    <w:pPr>
      <w:jc w:val="left"/>
      <w:spacing w:after="160" w:line="240" w:lineRule="exact"/>
      <w:widowControl/>
    </w:pPr>
    <w:rPr>
      <w:rFonts w:ascii="Verdana" w:hAnsi="Verdana" w:eastAsia="仿宋_GB2312"/>
      <w:sz w:val="24"/>
      <w:szCs w:val="20"/>
      <w:lang w:eastAsia="en-US"/>
    </w:rPr>
  </w:style>
  <w:style w:type="paragraph" w:styleId="789">
    <w:name w:val="Char Char1"/>
    <w:basedOn w:val="676"/>
    <w:next w:val="789"/>
    <w:link w:val="651"/>
    <w:qFormat/>
    <w:rPr>
      <w:rFonts w:ascii="Tahoma" w:hAnsi="Tahoma"/>
      <w:sz w:val="24"/>
    </w:rPr>
  </w:style>
  <w:style w:type="paragraph" w:styleId="790">
    <w:name w:val="xl26"/>
    <w:basedOn w:val="651"/>
    <w:next w:val="79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791">
    <w:name w:val="xl30"/>
    <w:basedOn w:val="651"/>
    <w:next w:val="79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92">
    <w:name w:val="xl41"/>
    <w:basedOn w:val="651"/>
    <w:next w:val="792"/>
    <w:link w:val="6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93">
    <w:name w:val="样式 宋体 五号 行距: 单倍行距"/>
    <w:basedOn w:val="651"/>
    <w:next w:val="793"/>
    <w:link w:val="651"/>
    <w:qFormat/>
    <w:pPr>
      <w:jc w:val="left"/>
    </w:pPr>
    <w:rPr>
      <w:rFonts w:ascii="宋体" w:hAnsi="宋体"/>
      <w:szCs w:val="20"/>
    </w:rPr>
  </w:style>
  <w:style w:type="paragraph" w:styleId="794">
    <w:name w:val="Char1 Char Char Char1"/>
    <w:basedOn w:val="651"/>
    <w:next w:val="794"/>
    <w:link w:val="651"/>
    <w:qFormat/>
    <w:rPr>
      <w:rFonts w:ascii="Tahoma" w:hAnsi="Tahoma" w:cs="仿宋_GB2312"/>
      <w:sz w:val="24"/>
      <w:szCs w:val="28"/>
    </w:rPr>
  </w:style>
  <w:style w:type="paragraph" w:styleId="795">
    <w:name w:val="四级条标题"/>
    <w:basedOn w:val="796"/>
    <w:next w:val="651"/>
    <w:link w:val="651"/>
    <w:qFormat/>
    <w:pPr>
      <w:numPr>
        <w:ilvl w:val="4"/>
      </w:numPr>
      <w:ind w:left="0" w:hanging="840"/>
      <w:tabs>
        <w:tab w:val="left" w:pos="360" w:leader="none"/>
        <w:tab w:val="left" w:pos="840" w:leader="none"/>
      </w:tabs>
      <w:outlineLvl w:val="4"/>
    </w:pPr>
  </w:style>
  <w:style w:type="paragraph" w:styleId="796">
    <w:name w:val="三级条标题"/>
    <w:basedOn w:val="758"/>
    <w:next w:val="651"/>
    <w:link w:val="651"/>
    <w:qFormat/>
    <w:pPr>
      <w:numPr>
        <w:ilvl w:val="3"/>
        <w:numId w:val="1"/>
      </w:numPr>
      <w:ind w:left="0" w:hanging="840"/>
      <w:tabs>
        <w:tab w:val="left" w:pos="360" w:leader="none"/>
        <w:tab w:val="left" w:pos="840" w:leader="none"/>
      </w:tabs>
      <w:outlineLvl w:val="3"/>
    </w:pPr>
  </w:style>
  <w:style w:type="paragraph" w:styleId="797">
    <w:name w:val="??"/>
    <w:next w:val="797"/>
    <w:link w:val="651"/>
    <w:qFormat/>
    <w:pPr>
      <w:jc w:val="both"/>
      <w:widowControl w:val="off"/>
    </w:pPr>
    <w:rPr>
      <w:sz w:val="21"/>
      <w:lang w:val="en-US" w:eastAsia="en-US" w:bidi="ar-SA"/>
    </w:rPr>
  </w:style>
  <w:style w:type="paragraph" w:styleId="798">
    <w:name w:val="样式 标题 2 + 宋体 五号 行距: 单倍行距"/>
    <w:basedOn w:val="653"/>
    <w:next w:val="798"/>
    <w:link w:val="65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799">
    <w:name w:val="List Paragraph1"/>
    <w:basedOn w:val="651"/>
    <w:next w:val="799"/>
    <w:link w:val="651"/>
    <w:qFormat/>
    <w:pPr>
      <w:ind w:firstLine="420"/>
    </w:pPr>
    <w:rPr>
      <w:rFonts w:ascii="Calibri" w:hAnsi="Calibri"/>
      <w:szCs w:val="22"/>
    </w:rPr>
  </w:style>
  <w:style w:type="paragraph" w:styleId="800">
    <w:name w:val="项目符号1"/>
    <w:basedOn w:val="801"/>
    <w:next w:val="800"/>
    <w:link w:val="651"/>
    <w:qFormat/>
    <w:pPr>
      <w:ind w:left="-25" w:firstLine="0"/>
    </w:pPr>
  </w:style>
  <w:style w:type="paragraph" w:styleId="801">
    <w:name w:val="正文文本样式"/>
    <w:basedOn w:val="651"/>
    <w:next w:val="801"/>
    <w:link w:val="651"/>
    <w:qFormat/>
    <w:pPr>
      <w:ind w:firstLine="482"/>
      <w:spacing w:line="360" w:lineRule="auto"/>
    </w:pPr>
    <w:rPr>
      <w:rFonts w:cs="宋体"/>
      <w:sz w:val="24"/>
      <w:szCs w:val="20"/>
    </w:rPr>
  </w:style>
  <w:style w:type="paragraph" w:styleId="802">
    <w:name w:val="xl27"/>
    <w:basedOn w:val="651"/>
    <w:next w:val="80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03">
    <w:name w:val="font5"/>
    <w:basedOn w:val="651"/>
    <w:next w:val="803"/>
    <w:link w:val="651"/>
    <w:qFormat/>
    <w:pPr>
      <w:jc w:val="left"/>
      <w:spacing w:before="100" w:beforeAutospacing="1" w:after="100" w:afterAutospacing="1"/>
      <w:widowControl/>
    </w:pPr>
    <w:rPr>
      <w:rFonts w:ascii="宋体" w:hAnsi="宋体" w:cs="宋体"/>
      <w:sz w:val="18"/>
      <w:szCs w:val="18"/>
    </w:rPr>
  </w:style>
  <w:style w:type="paragraph" w:styleId="804">
    <w:name w:val="五级条标题"/>
    <w:basedOn w:val="795"/>
    <w:next w:val="651"/>
    <w:link w:val="651"/>
    <w:qFormat/>
    <w:pPr>
      <w:numPr>
        <w:ilvl w:val="5"/>
      </w:numPr>
      <w:ind w:left="0" w:hanging="840"/>
      <w:tabs>
        <w:tab w:val="left" w:pos="360" w:leader="none"/>
        <w:tab w:val="left" w:pos="840" w:leader="none"/>
      </w:tabs>
      <w:outlineLvl w:val="5"/>
    </w:pPr>
  </w:style>
  <w:style w:type="paragraph" w:styleId="805">
    <w:name w:val="xl49"/>
    <w:basedOn w:val="651"/>
    <w:next w:val="80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06">
    <w:name w:val="文档正文"/>
    <w:basedOn w:val="651"/>
    <w:next w:val="806"/>
    <w:link w:val="651"/>
    <w:qFormat/>
    <w:pPr>
      <w:spacing w:before="120" w:after="120" w:line="180" w:lineRule="auto"/>
    </w:pPr>
    <w:rPr>
      <w:rFonts w:ascii="Arial" w:hAnsi="Arial"/>
      <w:szCs w:val="20"/>
    </w:rPr>
  </w:style>
  <w:style w:type="paragraph" w:styleId="807">
    <w:name w:val="xl33"/>
    <w:basedOn w:val="651"/>
    <w:next w:val="80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08">
    <w:name w:val="xl42"/>
    <w:basedOn w:val="651"/>
    <w:next w:val="80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09">
    <w:name w:val="Char Char Char1 Char"/>
    <w:basedOn w:val="651"/>
    <w:next w:val="809"/>
    <w:link w:val="651"/>
    <w:qFormat/>
    <w:rPr>
      <w:rFonts w:ascii="Tahoma" w:hAnsi="Tahoma"/>
      <w:sz w:val="24"/>
      <w:szCs w:val="20"/>
    </w:rPr>
  </w:style>
  <w:style w:type="paragraph" w:styleId="810">
    <w:name w:val="xl44"/>
    <w:basedOn w:val="651"/>
    <w:next w:val="810"/>
    <w:link w:val="6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11">
    <w:name w:val="1名"/>
    <w:basedOn w:val="651"/>
    <w:next w:val="811"/>
    <w:link w:val="651"/>
    <w:qFormat/>
    <w:pPr>
      <w:numPr>
        <w:ilvl w:val="0"/>
        <w:numId w:val="5"/>
      </w:numPr>
      <w:spacing w:before="120"/>
      <w:tabs>
        <w:tab w:val="left" w:pos="360" w:leader="none"/>
      </w:tabs>
    </w:pPr>
    <w:rPr>
      <w:rFonts w:ascii="宋体"/>
      <w:sz w:val="28"/>
      <w:szCs w:val="20"/>
    </w:rPr>
  </w:style>
  <w:style w:type="paragraph" w:styleId="812">
    <w:name w:val="font9"/>
    <w:basedOn w:val="651"/>
    <w:next w:val="812"/>
    <w:link w:val="651"/>
    <w:qFormat/>
    <w:pPr>
      <w:jc w:val="left"/>
      <w:spacing w:before="100" w:beforeAutospacing="1" w:after="100" w:afterAutospacing="1"/>
      <w:widowControl/>
    </w:pPr>
    <w:rPr>
      <w:rFonts w:hint="eastAsia" w:ascii="宋体" w:hAnsi="宋体" w:cs="Arial Unicode MS"/>
      <w:color w:val="000000"/>
      <w:sz w:val="20"/>
      <w:szCs w:val="20"/>
    </w:rPr>
  </w:style>
  <w:style w:type="paragraph" w:styleId="813">
    <w:name w:val="Char Char Char1 Char1"/>
    <w:basedOn w:val="651"/>
    <w:next w:val="813"/>
    <w:link w:val="651"/>
    <w:qFormat/>
    <w:rPr>
      <w:rFonts w:ascii="Tahoma" w:hAnsi="Tahoma"/>
      <w:sz w:val="24"/>
      <w:szCs w:val="20"/>
    </w:rPr>
  </w:style>
  <w:style w:type="paragraph" w:styleId="814">
    <w:name w:val="Char Char Char Char Char Char Char Char Char Char"/>
    <w:basedOn w:val="651"/>
    <w:next w:val="814"/>
    <w:link w:val="651"/>
    <w:qFormat/>
  </w:style>
  <w:style w:type="paragraph" w:styleId="815">
    <w:name w:val="Char Char1 Char Char Char Char Char Char Char Char"/>
    <w:basedOn w:val="651"/>
    <w:next w:val="815"/>
    <w:link w:val="651"/>
    <w:qFormat/>
    <w:pPr>
      <w:jc w:val="left"/>
      <w:spacing w:after="160" w:line="240" w:lineRule="exact"/>
      <w:widowControl/>
    </w:pPr>
    <w:rPr>
      <w:rFonts w:ascii="Verdana" w:hAnsi="Verdana"/>
      <w:sz w:val="20"/>
      <w:szCs w:val="20"/>
      <w:lang w:eastAsia="en-US"/>
    </w:rPr>
  </w:style>
  <w:style w:type="paragraph" w:styleId="816">
    <w:name w:val="Char1"/>
    <w:basedOn w:val="651"/>
    <w:next w:val="816"/>
    <w:link w:val="651"/>
    <w:qFormat/>
    <w:pPr>
      <w:tabs>
        <w:tab w:val="left" w:pos="360" w:leader="none"/>
      </w:tabs>
    </w:pPr>
    <w:rPr>
      <w:sz w:val="24"/>
    </w:rPr>
  </w:style>
  <w:style w:type="paragraph" w:styleId="817">
    <w:name w:val="正文列项_字母"/>
    <w:basedOn w:val="651"/>
    <w:next w:val="817"/>
    <w:link w:val="651"/>
    <w:qFormat/>
    <w:pPr>
      <w:numPr>
        <w:ilvl w:val="6"/>
        <w:numId w:val="1"/>
      </w:numPr>
      <w:ind w:left="480" w:hanging="180"/>
      <w:spacing w:line="460" w:lineRule="exact"/>
      <w:tabs>
        <w:tab w:val="clear" w:pos="635" w:leader="none"/>
      </w:tabs>
      <w:outlineLvl w:val="6"/>
    </w:pPr>
    <w:rPr>
      <w:rFonts w:ascii="宋体"/>
      <w:sz w:val="28"/>
      <w:szCs w:val="20"/>
    </w:rPr>
  </w:style>
  <w:style w:type="paragraph" w:styleId="818">
    <w:name w:val="xl28"/>
    <w:basedOn w:val="651"/>
    <w:next w:val="81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19">
    <w:name w:val="xl47"/>
    <w:basedOn w:val="651"/>
    <w:next w:val="819"/>
    <w:link w:val="6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0">
    <w:name w:val="默认段落字体 Para Char Char Char Char"/>
    <w:basedOn w:val="651"/>
    <w:next w:val="820"/>
    <w:link w:val="651"/>
    <w:qFormat/>
    <w:rPr>
      <w:rFonts w:ascii="Arial" w:hAnsi="Arial" w:cs="Arial"/>
      <w:szCs w:val="21"/>
    </w:rPr>
  </w:style>
  <w:style w:type="paragraph" w:styleId="821">
    <w:name w:val="xl48"/>
    <w:basedOn w:val="651"/>
    <w:next w:val="82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22">
    <w:name w:val="xl31"/>
    <w:basedOn w:val="651"/>
    <w:next w:val="822"/>
    <w:link w:val="6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23">
    <w:name w:val="xl53"/>
    <w:basedOn w:val="651"/>
    <w:next w:val="823"/>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4">
    <w:name w:val="Char Char Char"/>
    <w:basedOn w:val="651"/>
    <w:next w:val="824"/>
    <w:link w:val="651"/>
    <w:qFormat/>
    <w:rPr>
      <w:rFonts w:ascii="Tahoma" w:hAnsi="Tahoma"/>
      <w:sz w:val="24"/>
      <w:szCs w:val="20"/>
    </w:rPr>
  </w:style>
  <w:style w:type="paragraph" w:styleId="825">
    <w:name w:val="xl50"/>
    <w:basedOn w:val="651"/>
    <w:next w:val="825"/>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26">
    <w:name w:val="缺省文本"/>
    <w:basedOn w:val="651"/>
    <w:next w:val="826"/>
    <w:link w:val="651"/>
    <w:qFormat/>
    <w:pPr>
      <w:jc w:val="left"/>
    </w:pPr>
    <w:rPr>
      <w:sz w:val="24"/>
    </w:rPr>
  </w:style>
  <w:style w:type="paragraph" w:styleId="827">
    <w:name w:val="Char Char Char1"/>
    <w:basedOn w:val="651"/>
    <w:next w:val="827"/>
    <w:link w:val="651"/>
    <w:qFormat/>
    <w:rPr>
      <w:rFonts w:ascii="Tahoma" w:hAnsi="Tahoma"/>
      <w:sz w:val="24"/>
      <w:szCs w:val="20"/>
    </w:rPr>
  </w:style>
  <w:style w:type="paragraph" w:styleId="828">
    <w:name w:val="Char Char Char Char Char Char Char1"/>
    <w:basedOn w:val="651"/>
    <w:next w:val="828"/>
    <w:link w:val="651"/>
    <w:qFormat/>
    <w:pPr>
      <w:ind w:firstLine="200"/>
      <w:spacing w:line="360" w:lineRule="auto"/>
    </w:pPr>
    <w:rPr>
      <w:rFonts w:eastAsia="仿宋_GB2312"/>
      <w:sz w:val="24"/>
    </w:rPr>
  </w:style>
  <w:style w:type="paragraph" w:styleId="829">
    <w:name w:val="xl51"/>
    <w:basedOn w:val="651"/>
    <w:next w:val="829"/>
    <w:link w:val="6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0">
    <w:name w:val="样式2"/>
    <w:basedOn w:val="714"/>
    <w:next w:val="830"/>
    <w:link w:val="651"/>
    <w:qFormat/>
    <w:pPr>
      <w:jc w:val="center"/>
      <w:spacing w:line="360" w:lineRule="auto"/>
    </w:pPr>
    <w:rPr>
      <w:sz w:val="24"/>
    </w:rPr>
  </w:style>
  <w:style w:type="paragraph" w:styleId="831">
    <w:name w:val="xl24"/>
    <w:basedOn w:val="651"/>
    <w:next w:val="83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2">
    <w:name w:val="xl29"/>
    <w:basedOn w:val="651"/>
    <w:next w:val="83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33">
    <w:name w:val="正文 + 楷体_GB2312"/>
    <w:basedOn w:val="651"/>
    <w:next w:val="833"/>
    <w:link w:val="651"/>
    <w:qFormat/>
    <w:pPr>
      <w:jc w:val="left"/>
      <w:widowControl/>
    </w:pPr>
    <w:rPr>
      <w:rFonts w:ascii="楷体_GB2312" w:eastAsia="楷体_GB2312" w:cs="Arial"/>
      <w:sz w:val="24"/>
    </w:rPr>
  </w:style>
  <w:style w:type="paragraph" w:styleId="834">
    <w:name w:val="xl34"/>
    <w:basedOn w:val="651"/>
    <w:next w:val="834"/>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35">
    <w:name w:val="1 Char Char Char Char"/>
    <w:basedOn w:val="651"/>
    <w:next w:val="835"/>
    <w:link w:val="651"/>
    <w:qFormat/>
    <w:rPr>
      <w:rFonts w:ascii="Tahoma" w:hAnsi="Tahoma"/>
      <w:sz w:val="24"/>
      <w:szCs w:val="20"/>
    </w:rPr>
  </w:style>
  <w:style w:type="paragraph" w:styleId="836">
    <w:name w:val="列出段落1"/>
    <w:basedOn w:val="651"/>
    <w:next w:val="836"/>
    <w:link w:val="651"/>
    <w:qFormat/>
    <w:pPr>
      <w:ind w:firstLine="420"/>
    </w:pPr>
    <w:rPr>
      <w:rFonts w:ascii="Calibri" w:hAnsi="Calibri"/>
      <w:szCs w:val="22"/>
    </w:rPr>
  </w:style>
  <w:style w:type="paragraph" w:styleId="837">
    <w:name w:val="default"/>
    <w:basedOn w:val="651"/>
    <w:next w:val="837"/>
    <w:link w:val="651"/>
    <w:qFormat/>
    <w:pPr>
      <w:jc w:val="left"/>
      <w:spacing w:before="100" w:beforeAutospacing="1" w:after="100" w:afterAutospacing="1"/>
      <w:widowControl/>
    </w:pPr>
    <w:rPr>
      <w:rFonts w:ascii="宋体" w:hAnsi="宋体" w:cs="宋体"/>
      <w:sz w:val="24"/>
    </w:rPr>
  </w:style>
  <w:style w:type="paragraph" w:styleId="838">
    <w:name w:val="字元 字元1"/>
    <w:basedOn w:val="651"/>
    <w:next w:val="838"/>
    <w:link w:val="651"/>
    <w:qFormat/>
    <w:rPr>
      <w:rFonts w:ascii="Tahoma" w:hAnsi="Tahoma"/>
      <w:sz w:val="24"/>
      <w:szCs w:val="20"/>
    </w:rPr>
  </w:style>
  <w:style w:type="paragraph" w:styleId="839">
    <w:name w:val="_Style 160"/>
    <w:next w:val="839"/>
    <w:link w:val="651"/>
    <w:qFormat/>
    <w:rPr>
      <w:sz w:val="21"/>
      <w:szCs w:val="24"/>
      <w:lang w:val="en-US" w:eastAsia="zh-CN" w:bidi="ar-SA"/>
    </w:rPr>
  </w:style>
  <w:style w:type="paragraph" w:styleId="840">
    <w:name w:val="项目编号3"/>
    <w:basedOn w:val="801"/>
    <w:next w:val="840"/>
    <w:link w:val="651"/>
    <w:qFormat/>
    <w:pPr>
      <w:numPr>
        <w:ilvl w:val="0"/>
        <w:numId w:val="6"/>
      </w:numPr>
    </w:pPr>
  </w:style>
  <w:style w:type="paragraph" w:styleId="841">
    <w:name w:val="Char21"/>
    <w:basedOn w:val="651"/>
    <w:next w:val="841"/>
    <w:link w:val="651"/>
    <w:qFormat/>
    <w:rPr>
      <w:rFonts w:ascii="Tahoma" w:hAnsi="Tahoma"/>
      <w:sz w:val="24"/>
      <w:szCs w:val="20"/>
    </w:rPr>
  </w:style>
  <w:style w:type="paragraph" w:styleId="842">
    <w:name w:val="表格文字"/>
    <w:basedOn w:val="685"/>
    <w:next w:val="842"/>
    <w:link w:val="651"/>
    <w:qFormat/>
    <w:pPr>
      <w:ind w:firstLine="0"/>
      <w:spacing w:before="20" w:after="20" w:line="240" w:lineRule="auto"/>
    </w:pPr>
    <w:rPr>
      <w:rFonts w:ascii="Century Gothic" w:hAnsi="Century Gothic"/>
      <w:sz w:val="20"/>
      <w:szCs w:val="20"/>
    </w:rPr>
  </w:style>
  <w:style w:type="paragraph" w:styleId="843">
    <w:name w:val="Char Char Char Char Char Char Char Char Char Char1"/>
    <w:basedOn w:val="651"/>
    <w:next w:val="843"/>
    <w:link w:val="651"/>
    <w:qFormat/>
    <w:rPr>
      <w:rFonts w:ascii="宋体" w:hAnsi="宋体" w:cs="Courier New"/>
      <w:sz w:val="32"/>
      <w:szCs w:val="32"/>
    </w:rPr>
  </w:style>
  <w:style w:type="paragraph" w:styleId="844">
    <w:name w:val="正文文本样式 加粗"/>
    <w:basedOn w:val="801"/>
    <w:next w:val="844"/>
    <w:link w:val="651"/>
    <w:qFormat/>
    <w:rPr>
      <w:b/>
    </w:rPr>
  </w:style>
  <w:style w:type="paragraph" w:styleId="845">
    <w:name w:val="Char2 Char Char Char Char Char Char"/>
    <w:basedOn w:val="651"/>
    <w:next w:val="845"/>
    <w:link w:val="651"/>
    <w:qFormat/>
    <w:pPr>
      <w:jc w:val="center"/>
      <w:spacing w:line="400" w:lineRule="exact"/>
      <w:widowControl/>
    </w:pPr>
  </w:style>
  <w:style w:type="paragraph" w:styleId="846">
    <w:name w:val="Char Char4"/>
    <w:basedOn w:val="651"/>
    <w:next w:val="846"/>
    <w:link w:val="651"/>
    <w:qFormat/>
    <w:pPr>
      <w:jc w:val="center"/>
      <w:spacing w:line="400" w:lineRule="exact"/>
      <w:widowControl/>
    </w:pPr>
  </w:style>
  <w:style w:type="paragraph" w:styleId="847">
    <w:name w:val="Char3 Char Char Char1"/>
    <w:basedOn w:val="651"/>
    <w:next w:val="847"/>
    <w:link w:val="651"/>
    <w:qFormat/>
    <w:rPr>
      <w:rFonts w:ascii="Tahoma" w:hAnsi="Tahoma"/>
      <w:sz w:val="24"/>
      <w:szCs w:val="20"/>
    </w:rPr>
  </w:style>
  <w:style w:type="paragraph" w:styleId="848">
    <w:name w:val="无间隔"/>
    <w:next w:val="848"/>
    <w:link w:val="651"/>
    <w:qFormat/>
    <w:pPr>
      <w:jc w:val="both"/>
      <w:widowControl w:val="off"/>
    </w:pPr>
    <w:rPr>
      <w:sz w:val="21"/>
      <w:szCs w:val="24"/>
      <w:lang w:val="en-US" w:eastAsia="zh-CN" w:bidi="ar-SA"/>
    </w:rPr>
  </w:style>
  <w:style w:type="paragraph" w:styleId="849">
    <w:name w:val="22222222222222"/>
    <w:basedOn w:val="651"/>
    <w:next w:val="849"/>
    <w:link w:val="651"/>
    <w:qFormat/>
    <w:pPr>
      <w:ind w:firstLine="480"/>
      <w:jc w:val="left"/>
      <w:spacing w:line="360" w:lineRule="auto"/>
      <w:widowControl/>
    </w:pPr>
    <w:rPr>
      <w:color w:val="ff0000"/>
      <w:sz w:val="24"/>
      <w:szCs w:val="20"/>
    </w:rPr>
  </w:style>
  <w:style w:type="character" w:styleId="850">
    <w:name w:val="中等深浅网格 1 - 强调文字颜色 2 Char"/>
    <w:next w:val="850"/>
    <w:link w:val="851"/>
    <w:qFormat/>
    <w:rPr>
      <w:sz w:val="21"/>
      <w:szCs w:val="24"/>
      <w:lang w:val="zh-CN" w:eastAsia="zh-CN" w:bidi="ar-SA"/>
    </w:rPr>
  </w:style>
  <w:style w:type="paragraph" w:styleId="851">
    <w:name w:val="1"/>
    <w:next w:val="851"/>
    <w:link w:val="850"/>
    <w:qFormat/>
    <w:rPr>
      <w:sz w:val="21"/>
      <w:szCs w:val="24"/>
      <w:lang w:val="zh-CN" w:eastAsia="zh-CN" w:bidi="ar-SA"/>
    </w:rPr>
  </w:style>
  <w:style w:type="paragraph" w:styleId="852">
    <w:name w:val="图文"/>
    <w:basedOn w:val="651"/>
    <w:next w:val="852"/>
    <w:link w:val="651"/>
    <w:qFormat/>
    <w:pPr>
      <w:spacing w:after="50" w:line="360" w:lineRule="auto"/>
    </w:pPr>
    <w:rPr>
      <w:sz w:val="24"/>
    </w:rPr>
  </w:style>
  <w:style w:type="paragraph" w:styleId="853">
    <w:name w:val="xl23"/>
    <w:basedOn w:val="651"/>
    <w:next w:val="853"/>
    <w:link w:val="651"/>
    <w:qFormat/>
    <w:pPr>
      <w:spacing w:before="100" w:beforeAutospacing="1" w:after="100" w:afterAutospacing="1" w:line="360" w:lineRule="auto"/>
      <w:widowControl/>
    </w:pPr>
    <w:rPr>
      <w:sz w:val="24"/>
      <w:szCs w:val="20"/>
    </w:rPr>
  </w:style>
  <w:style w:type="paragraph" w:styleId="854">
    <w:name w:val="正文表格"/>
    <w:basedOn w:val="651"/>
    <w:next w:val="854"/>
    <w:link w:val="855"/>
    <w:qFormat/>
    <w:pPr>
      <w:jc w:val="left"/>
    </w:pPr>
    <w:rPr>
      <w:rFonts w:ascii="宋体" w:hAnsi="宋体"/>
      <w:color w:val="000000"/>
      <w:szCs w:val="21"/>
    </w:rPr>
  </w:style>
  <w:style w:type="character" w:styleId="855">
    <w:name w:val="正文表格 Char"/>
    <w:next w:val="855"/>
    <w:link w:val="854"/>
    <w:qFormat/>
    <w:rPr>
      <w:rFonts w:ascii="宋体" w:hAnsi="宋体"/>
      <w:color w:val="000000"/>
      <w:sz w:val="21"/>
      <w:szCs w:val="21"/>
    </w:rPr>
  </w:style>
  <w:style w:type="paragraph" w:styleId="856">
    <w:name w:val="正文重点"/>
    <w:basedOn w:val="651"/>
    <w:next w:val="856"/>
    <w:link w:val="857"/>
    <w:qFormat/>
    <w:pPr>
      <w:ind w:firstLine="482"/>
      <w:jc w:val="left"/>
      <w:spacing w:line="360" w:lineRule="auto"/>
    </w:pPr>
    <w:rPr>
      <w:b/>
      <w:sz w:val="24"/>
      <w:szCs w:val="20"/>
    </w:rPr>
  </w:style>
  <w:style w:type="character" w:styleId="857">
    <w:name w:val="正文重点 Char"/>
    <w:next w:val="857"/>
    <w:link w:val="856"/>
    <w:qFormat/>
    <w:rPr>
      <w:b/>
      <w:sz w:val="24"/>
    </w:rPr>
  </w:style>
  <w:style w:type="paragraph" w:styleId="858">
    <w:name w:val="标题1-附件"/>
    <w:basedOn w:val="652"/>
    <w:next w:val="858"/>
    <w:link w:val="651"/>
    <w:qFormat/>
    <w:pPr>
      <w:jc w:val="left"/>
    </w:pPr>
    <w:rPr>
      <w:sz w:val="24"/>
      <w:szCs w:val="24"/>
    </w:rPr>
  </w:style>
  <w:style w:type="paragraph" w:styleId="859">
    <w:name w:val="正文小标题"/>
    <w:basedOn w:val="651"/>
    <w:next w:val="673"/>
    <w:link w:val="860"/>
    <w:qFormat/>
    <w:pPr>
      <w:ind w:firstLine="482"/>
      <w:jc w:val="left"/>
      <w:spacing w:before="312" w:after="312"/>
    </w:pPr>
    <w:rPr>
      <w:rFonts w:ascii="宋体" w:hAnsi="宋体"/>
      <w:b/>
      <w:i/>
      <w:color w:val="ff0000"/>
      <w:sz w:val="24"/>
      <w:szCs w:val="20"/>
    </w:rPr>
  </w:style>
  <w:style w:type="character" w:styleId="860">
    <w:name w:val="正文小标题 Char"/>
    <w:next w:val="860"/>
    <w:link w:val="859"/>
    <w:qFormat/>
    <w:rPr>
      <w:rFonts w:ascii="宋体" w:hAnsi="宋体"/>
      <w:b/>
      <w:i/>
      <w:color w:val="ff0000"/>
      <w:sz w:val="24"/>
    </w:rPr>
  </w:style>
  <w:style w:type="paragraph" w:styleId="861">
    <w:name w:val="正文大标题"/>
    <w:basedOn w:val="859"/>
    <w:next w:val="673"/>
    <w:link w:val="862"/>
    <w:qFormat/>
    <w:pPr>
      <w:jc w:val="center"/>
    </w:pPr>
    <w:rPr>
      <w:i w:val="0"/>
      <w:color w:val="000000"/>
      <w:sz w:val="28"/>
      <w:szCs w:val="21"/>
    </w:rPr>
  </w:style>
  <w:style w:type="character" w:styleId="862">
    <w:name w:val="正文大标题 Char"/>
    <w:next w:val="862"/>
    <w:link w:val="861"/>
    <w:qFormat/>
    <w:rPr>
      <w:rFonts w:ascii="宋体" w:hAnsi="宋体"/>
      <w:b/>
      <w:color w:val="000000"/>
      <w:sz w:val="28"/>
      <w:szCs w:val="21"/>
    </w:rPr>
  </w:style>
  <w:style w:type="paragraph" w:styleId="863">
    <w:name w:val="注释"/>
    <w:basedOn w:val="651"/>
    <w:next w:val="863"/>
    <w:link w:val="864"/>
    <w:qFormat/>
    <w:pPr>
      <w:ind w:left="420" w:hanging="420"/>
      <w:jc w:val="left"/>
    </w:pPr>
    <w:rPr>
      <w:rFonts w:ascii="宋体" w:hAnsi="宋体"/>
      <w:szCs w:val="21"/>
    </w:rPr>
  </w:style>
  <w:style w:type="character" w:styleId="864">
    <w:name w:val="注释 Char"/>
    <w:next w:val="864"/>
    <w:link w:val="863"/>
    <w:qFormat/>
    <w:rPr>
      <w:rFonts w:ascii="宋体" w:hAnsi="宋体"/>
      <w:sz w:val="21"/>
      <w:szCs w:val="21"/>
    </w:rPr>
  </w:style>
  <w:style w:type="paragraph" w:styleId="865">
    <w:name w:val="正文须知-1级"/>
    <w:basedOn w:val="651"/>
    <w:next w:val="651"/>
    <w:link w:val="651"/>
    <w:qFormat/>
    <w:pPr>
      <w:numPr>
        <w:ilvl w:val="0"/>
        <w:numId w:val="7"/>
      </w:numPr>
      <w:spacing w:line="300" w:lineRule="auto"/>
    </w:pPr>
    <w:rPr>
      <w:rFonts w:ascii="宋体" w:hAnsi="Calibri"/>
      <w:sz w:val="24"/>
      <w:szCs w:val="21"/>
    </w:rPr>
  </w:style>
  <w:style w:type="paragraph" w:styleId="866">
    <w:name w:val="正文须知-2级"/>
    <w:basedOn w:val="651"/>
    <w:next w:val="866"/>
    <w:link w:val="651"/>
    <w:qFormat/>
    <w:pPr>
      <w:numPr>
        <w:ilvl w:val="1"/>
        <w:numId w:val="7"/>
      </w:numPr>
      <w:spacing w:line="300" w:lineRule="auto"/>
    </w:pPr>
    <w:rPr>
      <w:rFonts w:ascii="宋体" w:hAnsi="Calibri"/>
      <w:sz w:val="24"/>
      <w:szCs w:val="21"/>
    </w:rPr>
  </w:style>
  <w:style w:type="paragraph" w:styleId="867">
    <w:name w:val="正文须知-3级"/>
    <w:basedOn w:val="651"/>
    <w:next w:val="867"/>
    <w:link w:val="651"/>
    <w:qFormat/>
    <w:pPr>
      <w:numPr>
        <w:ilvl w:val="2"/>
        <w:numId w:val="7"/>
      </w:numPr>
      <w:ind w:hanging="355"/>
      <w:spacing w:line="300" w:lineRule="auto"/>
    </w:pPr>
    <w:rPr>
      <w:rFonts w:ascii="宋体" w:hAnsi="Calibri"/>
      <w:sz w:val="24"/>
      <w:szCs w:val="21"/>
    </w:rPr>
  </w:style>
  <w:style w:type="character" w:styleId="868">
    <w:name w:val="纯文本 字符"/>
    <w:next w:val="868"/>
    <w:link w:val="651"/>
    <w:uiPriority w:val="99"/>
    <w:qFormat/>
    <w:rPr>
      <w:rFonts w:ascii="宋体" w:hAnsi="Courier New" w:eastAsia="宋体" w:cs="Times New Roman"/>
      <w:sz w:val="21"/>
      <w:szCs w:val="21"/>
      <w:lang w:val="en-US" w:eastAsia="zh-CN" w:bidi="ar-SA"/>
    </w:rPr>
  </w:style>
  <w:style w:type="paragraph" w:styleId="869">
    <w:name w:val="表格1"/>
    <w:basedOn w:val="651"/>
    <w:next w:val="869"/>
    <w:link w:val="651"/>
    <w:qFormat/>
    <w:pPr>
      <w:ind w:firstLine="480"/>
      <w:jc w:val="center"/>
    </w:pPr>
    <w:rPr>
      <w:sz w:val="24"/>
      <w:szCs w:val="20"/>
    </w:rPr>
  </w:style>
  <w:style w:type="character" w:styleId="870">
    <w:name w:val="纯文本 字符1"/>
    <w:next w:val="870"/>
    <w:link w:val="651"/>
    <w:qFormat/>
    <w:rPr>
      <w:rFonts w:ascii="宋体" w:hAnsi="Courier New"/>
    </w:rPr>
  </w:style>
  <w:style w:type="character" w:styleId="871">
    <w:name w:val="bjh-p"/>
    <w:next w:val="871"/>
    <w:link w:val="651"/>
    <w:qFormat/>
  </w:style>
  <w:style w:type="paragraph" w:styleId="872">
    <w:name w:val="无标题条"/>
    <w:next w:val="651"/>
    <w:link w:val="651"/>
    <w:qFormat/>
    <w:pPr>
      <w:jc w:val="both"/>
    </w:pPr>
    <w:rPr>
      <w:sz w:val="21"/>
      <w:lang w:val="en-US" w:eastAsia="zh-CN" w:bidi="ar-SA"/>
    </w:rPr>
  </w:style>
  <w:style w:type="character" w:styleId="873">
    <w:name w:val="正文格式 Char"/>
    <w:next w:val="873"/>
    <w:link w:val="874"/>
    <w:qFormat/>
    <w:rPr>
      <w:rFonts w:ascii="宋体" w:hAnsi="宋体"/>
      <w:sz w:val="24"/>
      <w:szCs w:val="24"/>
      <w:lang w:val="en-GB"/>
    </w:rPr>
  </w:style>
  <w:style w:type="paragraph" w:styleId="874">
    <w:name w:val="正文格式"/>
    <w:basedOn w:val="651"/>
    <w:next w:val="874"/>
    <w:link w:val="873"/>
    <w:qFormat/>
    <w:pPr>
      <w:ind w:firstLine="480"/>
      <w:spacing w:line="360" w:lineRule="auto"/>
    </w:pPr>
    <w:rPr>
      <w:rFonts w:ascii="宋体" w:hAnsi="宋体"/>
      <w:sz w:val="24"/>
      <w:lang w:val="en-GB"/>
    </w:rPr>
  </w:style>
  <w:style w:type="character" w:styleId="875">
    <w:name w:val="正文缩进 Char"/>
    <w:next w:val="875"/>
    <w:link w:val="651"/>
    <w:qFormat/>
    <w:rPr>
      <w:rFonts w:ascii="宋体" w:eastAsia="宋体"/>
      <w:sz w:val="24"/>
      <w:szCs w:val="24"/>
      <w:lang w:val="en-US" w:eastAsia="zh-CN" w:bidi="ar-SA"/>
    </w:rPr>
  </w:style>
  <w:style w:type="character" w:styleId="876">
    <w:name w:val="Char Char111"/>
    <w:next w:val="876"/>
    <w:link w:val="651"/>
    <w:qFormat/>
    <w:rPr>
      <w:rFonts w:ascii="宋体" w:eastAsia="宋体"/>
      <w:b/>
      <w:sz w:val="24"/>
      <w:u w:val="single"/>
      <w:lang w:val="en-US" w:eastAsia="zh-CN" w:bidi="ar-SA"/>
    </w:rPr>
  </w:style>
  <w:style w:type="character" w:styleId="877">
    <w:name w:val="正文文本缩进 Char"/>
    <w:next w:val="877"/>
    <w:link w:val="651"/>
    <w:qFormat/>
    <w:rPr>
      <w:rFonts w:eastAsia="宋体"/>
      <w:sz w:val="24"/>
      <w:szCs w:val="24"/>
      <w:lang w:val="en-US" w:eastAsia="zh-CN" w:bidi="ar-SA"/>
    </w:rPr>
  </w:style>
  <w:style w:type="character" w:styleId="878">
    <w:name w:val="列出段落 Char"/>
    <w:next w:val="878"/>
    <w:link w:val="651"/>
    <w:qFormat/>
    <w:rPr>
      <w:rFonts w:ascii="Calibri" w:hAnsi="Calibri" w:eastAsia="宋体"/>
      <w:sz w:val="21"/>
      <w:szCs w:val="22"/>
      <w:lang w:val="en-US" w:eastAsia="zh-CN" w:bidi="ar-SA"/>
    </w:rPr>
  </w:style>
  <w:style w:type="character" w:styleId="879">
    <w:name w:val="页眉 Char"/>
    <w:next w:val="879"/>
    <w:link w:val="651"/>
    <w:qFormat/>
    <w:rPr>
      <w:rFonts w:eastAsia="宋体"/>
      <w:sz w:val="18"/>
      <w:szCs w:val="18"/>
      <w:lang w:val="en-US" w:eastAsia="zh-CN" w:bidi="ar-SA"/>
    </w:rPr>
  </w:style>
  <w:style w:type="character" w:styleId="880">
    <w:name w:val="标题 2 Char"/>
    <w:next w:val="880"/>
    <w:link w:val="651"/>
    <w:qFormat/>
    <w:rPr>
      <w:rFonts w:ascii="Arial" w:hAnsi="Arial" w:eastAsia="黑体"/>
      <w:b/>
      <w:sz w:val="30"/>
      <w:lang w:val="en-US" w:eastAsia="zh-CN" w:bidi="ar-SA"/>
    </w:rPr>
  </w:style>
  <w:style w:type="paragraph" w:styleId="881">
    <w:name w:val="字元 字元2"/>
    <w:basedOn w:val="651"/>
    <w:next w:val="881"/>
    <w:link w:val="651"/>
    <w:qFormat/>
    <w:rPr>
      <w:rFonts w:ascii="Tahoma" w:hAnsi="Tahoma"/>
      <w:sz w:val="24"/>
      <w:szCs w:val="20"/>
    </w:rPr>
  </w:style>
  <w:style w:type="paragraph" w:styleId="882">
    <w:name w:val="Char3 Char Char Char2"/>
    <w:basedOn w:val="651"/>
    <w:next w:val="882"/>
    <w:link w:val="651"/>
    <w:qFormat/>
    <w:rPr>
      <w:rFonts w:ascii="Tahoma" w:hAnsi="Tahoma"/>
      <w:sz w:val="24"/>
      <w:szCs w:val="20"/>
    </w:rPr>
  </w:style>
  <w:style w:type="paragraph" w:styleId="883">
    <w:name w:val="正文文本缩进2"/>
    <w:basedOn w:val="651"/>
    <w:next w:val="883"/>
    <w:link w:val="651"/>
    <w:qFormat/>
    <w:pPr>
      <w:ind w:firstLine="480"/>
      <w:spacing w:line="480" w:lineRule="exact"/>
    </w:pPr>
    <w:rPr>
      <w:rFonts w:ascii="宋体" w:hAnsi="宋体"/>
      <w:sz w:val="24"/>
      <w:lang w:val="zh-CN" w:eastAsia="zh-CN"/>
    </w:rPr>
  </w:style>
  <w:style w:type="paragraph" w:styleId="884">
    <w:name w:val="Char3"/>
    <w:basedOn w:val="651"/>
    <w:next w:val="884"/>
    <w:link w:val="651"/>
    <w:qFormat/>
    <w:pPr>
      <w:tabs>
        <w:tab w:val="left" w:pos="360" w:leader="none"/>
      </w:tabs>
    </w:pPr>
    <w:rPr>
      <w:sz w:val="24"/>
    </w:rPr>
  </w:style>
  <w:style w:type="paragraph" w:styleId="885">
    <w:name w:val="Char Char Char Char Char Char Char Char Char Char Char Char Char Char Char Char1"/>
    <w:basedOn w:val="651"/>
    <w:next w:val="885"/>
    <w:link w:val="651"/>
    <w:qFormat/>
    <w:pPr>
      <w:jc w:val="center"/>
      <w:spacing w:after="160" w:line="240" w:lineRule="exact"/>
      <w:widowControl/>
    </w:pPr>
    <w:rPr>
      <w:rFonts w:ascii="宋体" w:hAnsi="宋体"/>
      <w:b/>
      <w:sz w:val="30"/>
      <w:szCs w:val="30"/>
      <w:lang w:eastAsia="en-US"/>
    </w:rPr>
  </w:style>
  <w:style w:type="paragraph" w:styleId="886">
    <w:name w:val="Char Char1 Char Char Char Char Char Char1"/>
    <w:basedOn w:val="651"/>
    <w:next w:val="886"/>
    <w:link w:val="651"/>
    <w:qFormat/>
    <w:pPr>
      <w:jc w:val="left"/>
      <w:spacing w:after="160" w:line="240" w:lineRule="exact"/>
      <w:widowControl/>
    </w:pPr>
    <w:rPr>
      <w:rFonts w:ascii="Verdana" w:hAnsi="Verdana" w:eastAsia="仿宋_GB2312"/>
      <w:sz w:val="24"/>
      <w:szCs w:val="20"/>
      <w:lang w:eastAsia="en-US"/>
    </w:rPr>
  </w:style>
  <w:style w:type="paragraph" w:styleId="887">
    <w:name w:val="列出段落2"/>
    <w:basedOn w:val="651"/>
    <w:next w:val="887"/>
    <w:link w:val="651"/>
    <w:qFormat/>
    <w:pPr>
      <w:ind w:firstLine="420"/>
    </w:pPr>
    <w:rPr>
      <w:rFonts w:ascii="Calibri" w:hAnsi="Calibri"/>
      <w:szCs w:val="22"/>
    </w:rPr>
  </w:style>
  <w:style w:type="paragraph" w:styleId="888">
    <w:name w:val="Char Char Char1 Char2"/>
    <w:basedOn w:val="651"/>
    <w:next w:val="888"/>
    <w:link w:val="651"/>
    <w:qFormat/>
    <w:rPr>
      <w:rFonts w:ascii="Tahoma" w:hAnsi="Tahoma"/>
      <w:sz w:val="24"/>
      <w:szCs w:val="20"/>
    </w:rPr>
  </w:style>
  <w:style w:type="paragraph" w:styleId="889">
    <w:name w:val="Char Char Char2"/>
    <w:basedOn w:val="651"/>
    <w:next w:val="889"/>
    <w:link w:val="651"/>
    <w:qFormat/>
    <w:rPr>
      <w:rFonts w:ascii="Tahoma" w:hAnsi="Tahoma"/>
      <w:sz w:val="24"/>
      <w:szCs w:val="20"/>
    </w:rPr>
  </w:style>
  <w:style w:type="paragraph" w:styleId="890">
    <w:name w:val="Char Char Char Char Char Char Char2"/>
    <w:basedOn w:val="651"/>
    <w:next w:val="890"/>
    <w:link w:val="651"/>
    <w:qFormat/>
    <w:pPr>
      <w:ind w:firstLine="200"/>
      <w:spacing w:line="360" w:lineRule="auto"/>
    </w:pPr>
    <w:rPr>
      <w:rFonts w:eastAsia="仿宋_GB2312"/>
      <w:sz w:val="24"/>
    </w:rPr>
  </w:style>
  <w:style w:type="paragraph" w:styleId="891">
    <w:name w:val="正文缩进2"/>
    <w:basedOn w:val="651"/>
    <w:next w:val="891"/>
    <w:link w:val="651"/>
    <w:qFormat/>
    <w:pPr>
      <w:ind w:firstLine="567"/>
      <w:spacing w:line="480" w:lineRule="exact"/>
      <w:widowControl/>
    </w:pPr>
    <w:rPr>
      <w:rFonts w:ascii="宋体"/>
      <w:color w:val="000000"/>
      <w:sz w:val="28"/>
      <w:szCs w:val="20"/>
      <w:lang w:val="zh-CN" w:eastAsia="zh-CN"/>
    </w:rPr>
  </w:style>
  <w:style w:type="paragraph" w:styleId="892">
    <w:name w:val="Revision"/>
    <w:next w:val="892"/>
    <w:link w:val="651"/>
    <w:qFormat/>
    <w:rPr>
      <w:sz w:val="21"/>
      <w:szCs w:val="24"/>
      <w:lang w:val="en-US" w:eastAsia="zh-CN" w:bidi="ar-SA"/>
    </w:rPr>
  </w:style>
  <w:style w:type="paragraph" w:styleId="893">
    <w:name w:val="Char22"/>
    <w:basedOn w:val="651"/>
    <w:next w:val="893"/>
    <w:link w:val="651"/>
    <w:qFormat/>
    <w:rPr>
      <w:rFonts w:ascii="Tahoma" w:hAnsi="Tahoma"/>
      <w:sz w:val="24"/>
      <w:szCs w:val="20"/>
    </w:rPr>
  </w:style>
  <w:style w:type="paragraph" w:styleId="894">
    <w:name w:val="Char Char Char Char Char Char Char Char Char Char2"/>
    <w:basedOn w:val="651"/>
    <w:next w:val="894"/>
    <w:link w:val="651"/>
    <w:qFormat/>
    <w:rPr>
      <w:rFonts w:ascii="宋体" w:hAnsi="宋体" w:cs="Courier New"/>
      <w:sz w:val="32"/>
      <w:szCs w:val="32"/>
    </w:rPr>
  </w:style>
  <w:style w:type="paragraph" w:styleId="895">
    <w:name w:val="Char2 Char Char Char Char Char Char1"/>
    <w:basedOn w:val="651"/>
    <w:next w:val="895"/>
    <w:link w:val="651"/>
    <w:qFormat/>
    <w:pPr>
      <w:jc w:val="center"/>
      <w:spacing w:line="400" w:lineRule="exact"/>
      <w:widowControl/>
    </w:pPr>
  </w:style>
  <w:style w:type="character" w:styleId="896">
    <w:name w:val="页脚 Char"/>
    <w:next w:val="896"/>
    <w:link w:val="651"/>
    <w:qFormat/>
    <w:rPr>
      <w:rFonts w:ascii="宋体" w:eastAsia="宋体"/>
      <w:sz w:val="18"/>
      <w:lang w:val="en-US" w:eastAsia="zh-CN" w:bidi="ar-SA"/>
    </w:rPr>
  </w:style>
  <w:style w:type="paragraph" w:styleId="897">
    <w:name w:val="Char Char41"/>
    <w:basedOn w:val="651"/>
    <w:next w:val="897"/>
    <w:link w:val="651"/>
    <w:qFormat/>
    <w:pPr>
      <w:jc w:val="center"/>
      <w:spacing w:line="400" w:lineRule="exact"/>
      <w:widowControl/>
    </w:pPr>
  </w:style>
  <w:style w:type="character" w:styleId="898">
    <w:name w:val="批注文字 Char"/>
    <w:next w:val="898"/>
    <w:link w:val="651"/>
    <w:uiPriority w:val="99"/>
    <w:qFormat/>
    <w:rPr>
      <w:sz w:val="21"/>
      <w:szCs w:val="24"/>
    </w:rPr>
  </w:style>
  <w:style w:type="character" w:styleId="899">
    <w:name w:val="标题 Char"/>
    <w:next w:val="899"/>
    <w:link w:val="651"/>
    <w:qFormat/>
    <w:rPr>
      <w:b/>
      <w:sz w:val="32"/>
    </w:rPr>
  </w:style>
  <w:style w:type="paragraph" w:styleId="900">
    <w:name w:val="图例"/>
    <w:basedOn w:val="651"/>
    <w:next w:val="900"/>
    <w:link w:val="651"/>
    <w:qFormat/>
    <w:pPr>
      <w:jc w:val="center"/>
      <w:spacing w:before="120" w:after="120" w:line="360" w:lineRule="auto"/>
    </w:pPr>
    <w:rPr>
      <w:rFonts w:eastAsia="仿宋_GB2312"/>
      <w:b/>
      <w:sz w:val="24"/>
      <w:szCs w:val="20"/>
    </w:rPr>
  </w:style>
  <w:style w:type="table" w:styleId="901">
    <w:name w:val="Table Normal"/>
    <w:next w:val="901"/>
    <w:link w:val="651"/>
    <w:uiPriority w:val="2"/>
    <w:unhideWhenUsed/>
    <w:qFormat/>
    <w:pPr>
      <w:widowControl w:val="off"/>
    </w:pPr>
    <w:rPr>
      <w:rFonts w:ascii="Calibri" w:hAnsi="Calibri"/>
      <w:sz w:val="22"/>
      <w:szCs w:val="22"/>
      <w:lang w:val="en-US" w:eastAsia="en-US" w:bidi="ar-SA"/>
    </w:rPr>
    <w:tblPr/>
  </w:style>
  <w:style w:type="paragraph" w:styleId="902">
    <w:name w:val="Table Paragraph"/>
    <w:basedOn w:val="651"/>
    <w:next w:val="902"/>
    <w:link w:val="651"/>
    <w:uiPriority w:val="1"/>
    <w:qFormat/>
    <w:pPr>
      <w:jc w:val="left"/>
    </w:pPr>
    <w:rPr>
      <w:rFonts w:ascii="宋体" w:hAnsi="宋体" w:cs="宋体"/>
      <w:sz w:val="22"/>
      <w:szCs w:val="22"/>
      <w:lang w:eastAsia="en-US"/>
    </w:rPr>
  </w:style>
  <w:style w:type="paragraph" w:styleId="903">
    <w:name w:val="成文日期"/>
    <w:basedOn w:val="651"/>
    <w:next w:val="903"/>
    <w:link w:val="904"/>
    <w:qFormat/>
    <w:pPr>
      <w:ind w:right="400" w:firstLine="200"/>
      <w:jc w:val="right"/>
      <w:spacing w:line="570" w:lineRule="exact"/>
    </w:pPr>
    <w:rPr>
      <w:rFonts w:ascii="仿宋_GB2312" w:eastAsia="仿宋_GB2312"/>
      <w:sz w:val="32"/>
      <w:szCs w:val="20"/>
    </w:rPr>
  </w:style>
  <w:style w:type="character" w:styleId="904">
    <w:name w:val="成文日期 Char"/>
    <w:next w:val="904"/>
    <w:link w:val="903"/>
    <w:rPr>
      <w:rFonts w:ascii="仿宋_GB2312" w:eastAsia="仿宋_GB2312"/>
      <w:sz w:val="32"/>
    </w:rPr>
  </w:style>
  <w:style w:type="paragraph" w:styleId="905">
    <w:name w:val="修订"/>
    <w:next w:val="905"/>
    <w:link w:val="651"/>
    <w:uiPriority w:val="99"/>
    <w:unhideWhenUsed/>
    <w:rPr>
      <w:sz w:val="21"/>
      <w:szCs w:val="24"/>
      <w:lang w:val="en-US" w:eastAsia="zh-CN" w:bidi="ar-SA"/>
    </w:rPr>
  </w:style>
  <w:style w:type="character" w:styleId="906">
    <w:name w:val="font91"/>
    <w:basedOn w:val="661"/>
    <w:next w:val="906"/>
    <w:link w:val="651"/>
    <w:rPr>
      <w:rFonts w:hint="eastAsia" w:ascii="宋体" w:hAnsi="宋体" w:eastAsia="宋体" w:cs="宋体"/>
      <w:i w:val="0"/>
      <w:iCs w:val="0"/>
      <w:color w:val="000000"/>
      <w:sz w:val="20"/>
      <w:szCs w:val="20"/>
      <w:u w:val="none"/>
    </w:rPr>
  </w:style>
  <w:style w:type="character" w:styleId="907">
    <w:name w:val="font61"/>
    <w:basedOn w:val="661"/>
    <w:next w:val="907"/>
    <w:link w:val="651"/>
    <w:rPr>
      <w:rFonts w:hint="eastAsia" w:ascii="宋体" w:hAnsi="宋体" w:eastAsia="宋体" w:cs="宋体"/>
      <w:i w:val="0"/>
      <w:iCs w:val="0"/>
      <w:color w:val="000000"/>
      <w:sz w:val="20"/>
      <w:szCs w:val="20"/>
      <w:u w:val="none"/>
    </w:rPr>
  </w:style>
  <w:style w:type="paragraph" w:styleId="908">
    <w:name w:val="p15"/>
    <w:basedOn w:val="651"/>
    <w:next w:val="908"/>
    <w:link w:val="651"/>
    <w:qFormat/>
    <w:pPr>
      <w:ind w:firstLine="420"/>
      <w:widowControl/>
    </w:pPr>
    <w:rPr>
      <w:szCs w:val="21"/>
    </w:rPr>
  </w:style>
  <w:style w:type="character" w:styleId="909">
    <w:name w:val="font31"/>
    <w:next w:val="909"/>
    <w:link w:val="651"/>
    <w:qFormat/>
    <w:rPr>
      <w:rFonts w:hint="eastAsia" w:ascii="宋体" w:hAnsi="宋体" w:eastAsia="宋体" w:cs="宋体"/>
      <w:color w:val="000000"/>
      <w:sz w:val="18"/>
      <w:szCs w:val="18"/>
      <w:u w:val="none"/>
    </w:rPr>
  </w:style>
  <w:style w:type="character" w:styleId="910">
    <w:name w:val="font41"/>
    <w:basedOn w:val="661"/>
    <w:next w:val="910"/>
    <w:link w:val="651"/>
    <w:qFormat/>
    <w:rPr>
      <w:rFonts w:hint="eastAsia" w:ascii="宋体" w:hAnsi="宋体" w:eastAsia="宋体" w:cs="宋体"/>
      <w:color w:val="000000"/>
      <w:sz w:val="24"/>
      <w:szCs w:val="24"/>
      <w:u w:val="none"/>
    </w:rPr>
  </w:style>
  <w:style w:type="character" w:styleId="911">
    <w:name w:val="font51"/>
    <w:basedOn w:val="661"/>
    <w:next w:val="911"/>
    <w:link w:val="651"/>
    <w:qFormat/>
    <w:rPr>
      <w:rFonts w:hint="eastAsia" w:ascii="宋体" w:hAnsi="宋体" w:eastAsia="宋体" w:cs="宋体"/>
      <w:color w:val="000000"/>
      <w:sz w:val="24"/>
      <w:szCs w:val="24"/>
      <w:u w:val="none"/>
    </w:rPr>
  </w:style>
  <w:style w:type="character" w:styleId="912">
    <w:name w:val="NormalCharacter1"/>
    <w:next w:val="912"/>
    <w:link w:val="651"/>
    <w:semiHidden/>
    <w:qFormat/>
  </w:style>
  <w:style w:type="paragraph" w:styleId="913">
    <w:name w:val="正文首行缩进 21"/>
    <w:next w:val="651"/>
    <w:link w:val="651"/>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14">
    <w:name w:val="正文文本1"/>
    <w:next w:val="914"/>
    <w:link w:val="651"/>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915">
    <w:name w:val="font11"/>
    <w:basedOn w:val="661"/>
    <w:next w:val="915"/>
    <w:link w:val="651"/>
    <w:rPr>
      <w:rFonts w:hint="eastAsia" w:ascii="宋体" w:hAnsi="宋体" w:eastAsia="宋体" w:cs="宋体"/>
      <w:i w:val="0"/>
      <w:iCs w:val="0"/>
      <w:color w:val="000000"/>
      <w:sz w:val="22"/>
      <w:szCs w:val="22"/>
      <w:u w:val="none"/>
    </w:rPr>
  </w:style>
  <w:style w:type="paragraph" w:styleId="916">
    <w:name w:val="普通(网站)1"/>
    <w:basedOn w:val="651"/>
    <w:next w:val="916"/>
    <w:link w:val="651"/>
    <w:uiPriority w:val="99"/>
    <w:unhideWhenUsed/>
    <w:qFormat/>
    <w:pPr>
      <w:jc w:val="left"/>
      <w:spacing w:before="100" w:beforeAutospacing="1" w:after="100" w:afterAutospacing="1"/>
      <w:widowControl/>
    </w:pPr>
    <w:rPr>
      <w:rFonts w:ascii="宋体" w:hAnsi="宋体" w:cs="宋体"/>
      <w:sz w:val="24"/>
    </w:rPr>
  </w:style>
  <w:style w:type="paragraph" w:styleId="917">
    <w:name w:val="正文1"/>
    <w:basedOn w:val="651"/>
    <w:next w:val="917"/>
    <w:link w:val="651"/>
    <w:qFormat/>
    <w:pPr>
      <w:contextualSpacing/>
      <w:ind w:firstLine="200"/>
      <w:jc w:val="left"/>
      <w:spacing w:before="120" w:after="120"/>
      <w:widowControl/>
    </w:pPr>
    <w:rPr>
      <w:rFonts w:ascii="Calibri" w:hAnsi="Calibri" w:eastAsia="Adobe 仿宋 Std R"/>
      <w:sz w:val="20"/>
      <w:szCs w:val="21"/>
    </w:rPr>
  </w:style>
  <w:style w:type="paragraph" w:styleId="918">
    <w:name w:val="正文首行缩进1"/>
    <w:basedOn w:val="914"/>
    <w:next w:val="918"/>
    <w:link w:val="651"/>
    <w:uiPriority w:val="99"/>
    <w:qFormat/>
    <w:pPr>
      <w:ind w:firstLine="420"/>
      <w:tabs>
        <w:tab w:val="left" w:pos="567" w:leader="none"/>
      </w:tabs>
    </w:pPr>
  </w:style>
  <w:style w:type="paragraph" w:styleId="919">
    <w:name w:val="标题 21"/>
    <w:basedOn w:val="651"/>
    <w:next w:val="920"/>
    <w:link w:val="651"/>
    <w:qFormat/>
    <w:pPr>
      <w:jc w:val="center"/>
      <w:keepLines/>
      <w:keepNext/>
      <w:spacing w:before="120" w:line="300" w:lineRule="auto"/>
      <w:outlineLvl w:val="1"/>
    </w:pPr>
    <w:rPr>
      <w:rFonts w:ascii="Arial" w:hAnsi="Arial" w:eastAsia="黑体"/>
      <w:b/>
      <w:sz w:val="30"/>
      <w:szCs w:val="20"/>
    </w:rPr>
  </w:style>
  <w:style w:type="paragraph" w:styleId="920">
    <w:name w:val="正文缩进11"/>
    <w:basedOn w:val="651"/>
    <w:next w:val="920"/>
    <w:link w:val="651"/>
    <w:uiPriority w:val="99"/>
    <w:qFormat/>
    <w:pPr>
      <w:ind w:firstLine="420"/>
      <w:jc w:val="left"/>
    </w:pPr>
    <w:rPr>
      <w:rFonts w:ascii="宋体"/>
      <w:sz w:val="24"/>
    </w:rPr>
  </w:style>
  <w:style w:type="paragraph" w:styleId="921">
    <w:name w:val="N3"/>
    <w:basedOn w:val="922"/>
    <w:next w:val="921"/>
    <w:link w:val="651"/>
    <w:qFormat/>
    <w:pPr>
      <w:numPr>
        <w:ilvl w:val="2"/>
      </w:numPr>
      <w:outlineLvl w:val="2"/>
    </w:pPr>
    <w:rPr>
      <w:rFonts w:ascii="Times New Roman" w:hAnsi="Times New Roman" w:cs="Times New Roman"/>
      <w:sz w:val="24"/>
      <w:szCs w:val="24"/>
    </w:rPr>
  </w:style>
  <w:style w:type="paragraph" w:styleId="922">
    <w:name w:val="N2"/>
    <w:basedOn w:val="923"/>
    <w:next w:val="922"/>
    <w:link w:val="651"/>
    <w:qFormat/>
    <w:pPr>
      <w:numPr>
        <w:ilvl w:val="1"/>
      </w:numPr>
      <w:outlineLvl w:val="1"/>
    </w:pPr>
  </w:style>
  <w:style w:type="paragraph" w:styleId="923">
    <w:name w:val="N1"/>
    <w:basedOn w:val="651"/>
    <w:next w:val="923"/>
    <w:link w:val="651"/>
    <w:qFormat/>
    <w:pPr>
      <w:numPr>
        <w:ilvl w:val="0"/>
        <w:numId w:val="8"/>
      </w:numPr>
      <w:spacing w:line="360" w:lineRule="auto"/>
      <w:outlineLvl w:val="0"/>
    </w:pPr>
    <w:rPr>
      <w:rFonts w:eastAsia="宋体"/>
      <w:b/>
      <w:sz w:val="30"/>
    </w:rPr>
  </w:style>
  <w:style w:type="paragraph" w:styleId="924">
    <w:name w:val="N4"/>
    <w:basedOn w:val="921"/>
    <w:next w:val="924"/>
    <w:link w:val="651"/>
    <w:qFormat/>
    <w:pPr>
      <w:numPr>
        <w:ilvl w:val="3"/>
      </w:numPr>
      <w:outlineLvl w:val="3"/>
    </w:pPr>
    <w:rPr>
      <w:sz w:val="30"/>
    </w:rPr>
  </w:style>
  <w:style w:type="character" w:styleId="56476" w:default="1">
    <w:name w:val="Default Paragraph Font"/>
    <w:uiPriority w:val="1"/>
    <w:semiHidden/>
    <w:unhideWhenUsed/>
  </w:style>
  <w:style w:type="numbering" w:styleId="56477" w:default="1">
    <w:name w:val="No List"/>
    <w:uiPriority w:val="99"/>
    <w:semiHidden/>
    <w:unhideWhenUsed/>
  </w:style>
  <w:style w:type="table" w:styleId="564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8</cp:revision>
  <dcterms:created xsi:type="dcterms:W3CDTF">2022-05-30T08:08:00Z</dcterms:created>
  <dcterms:modified xsi:type="dcterms:W3CDTF">2026-06-23T07:45:31Z</dcterms:modified>
</cp:coreProperties>
</file>